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CC" w:rsidRPr="009B19CC" w:rsidRDefault="009B19CC" w:rsidP="009B19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19CC">
        <w:rPr>
          <w:rFonts w:ascii="Times New Roman" w:hAnsi="Times New Roman" w:cs="Times New Roman"/>
          <w:sz w:val="24"/>
          <w:szCs w:val="24"/>
        </w:rPr>
        <w:t>ПРОЕКТ</w:t>
      </w:r>
    </w:p>
    <w:p w:rsidR="009B19CC" w:rsidRPr="009B19CC" w:rsidRDefault="009B19CC" w:rsidP="009B19C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9B19CC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9B19CC" w:rsidRPr="009B19CC" w:rsidRDefault="009B19CC" w:rsidP="009B19C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9B19CC" w:rsidRPr="009B19CC" w:rsidRDefault="009B19CC" w:rsidP="009B1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19CC">
        <w:rPr>
          <w:rFonts w:ascii="Times New Roman" w:hAnsi="Times New Roman" w:cs="Times New Roman"/>
          <w:b w:val="0"/>
          <w:sz w:val="28"/>
          <w:szCs w:val="28"/>
        </w:rPr>
        <w:t>__________                                                                                      № __</w:t>
      </w:r>
    </w:p>
    <w:p w:rsidR="009B19CC" w:rsidRPr="009B19CC" w:rsidRDefault="009B19CC" w:rsidP="009B19CC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B19CC">
        <w:rPr>
          <w:rFonts w:ascii="Times New Roman" w:hAnsi="Times New Roman" w:cs="Times New Roman"/>
          <w:b w:val="0"/>
          <w:sz w:val="18"/>
          <w:szCs w:val="18"/>
        </w:rPr>
        <w:t>Разослать:</w:t>
      </w:r>
    </w:p>
    <w:p w:rsidR="009B19CC" w:rsidRDefault="009B19CC" w:rsidP="009B19CC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B19CC">
        <w:rPr>
          <w:rFonts w:ascii="Times New Roman" w:hAnsi="Times New Roman" w:cs="Times New Roman"/>
          <w:b w:val="0"/>
          <w:sz w:val="18"/>
          <w:szCs w:val="18"/>
        </w:rPr>
        <w:t>Экономический отдел- 1</w:t>
      </w:r>
    </w:p>
    <w:p w:rsidR="00EF125A" w:rsidRDefault="00EF125A" w:rsidP="009B19CC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Аппарат - 1</w:t>
      </w:r>
    </w:p>
    <w:p w:rsidR="00D333FB" w:rsidRDefault="00EF125A" w:rsidP="009B19CC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Сектор культуры – 1</w:t>
      </w:r>
    </w:p>
    <w:p w:rsidR="00EF125A" w:rsidRPr="009B19CC" w:rsidRDefault="00EF125A" w:rsidP="009B19CC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Управление образования -1 </w:t>
      </w:r>
    </w:p>
    <w:p w:rsidR="009B19CC" w:rsidRPr="009B19CC" w:rsidRDefault="009B19CC" w:rsidP="009B19CC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B19CC">
        <w:rPr>
          <w:rFonts w:ascii="Times New Roman" w:hAnsi="Times New Roman" w:cs="Times New Roman"/>
          <w:b w:val="0"/>
          <w:sz w:val="18"/>
          <w:szCs w:val="18"/>
        </w:rPr>
        <w:t>Дело - 1</w:t>
      </w:r>
    </w:p>
    <w:p w:rsidR="009B19CC" w:rsidRPr="009B19CC" w:rsidRDefault="009B19CC" w:rsidP="009B19C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19CC" w:rsidRPr="009B19CC" w:rsidTr="009B19CC">
        <w:tc>
          <w:tcPr>
            <w:tcW w:w="4785" w:type="dxa"/>
          </w:tcPr>
          <w:p w:rsidR="009B19CC" w:rsidRPr="009B19CC" w:rsidRDefault="009B19CC" w:rsidP="009B19C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9CC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Правил определения требований к  закупаемым </w:t>
            </w:r>
            <w:r w:rsidR="005C6954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 и подведомственными казенными учреждениями</w:t>
            </w:r>
            <w:r w:rsidR="001B5DAF">
              <w:rPr>
                <w:rFonts w:ascii="Times New Roman" w:hAnsi="Times New Roman" w:cs="Times New Roman"/>
                <w:sz w:val="28"/>
                <w:szCs w:val="28"/>
              </w:rPr>
              <w:t xml:space="preserve"> Карагинского района</w:t>
            </w:r>
            <w:r w:rsidRPr="009B19CC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товаров, работ, услуг (в том числе предельных</w:t>
            </w:r>
            <w:proofErr w:type="gramEnd"/>
          </w:p>
          <w:p w:rsidR="009B19CC" w:rsidRPr="009B19CC" w:rsidRDefault="009B19CC" w:rsidP="009B19C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CC">
              <w:rPr>
                <w:rFonts w:ascii="Times New Roman" w:hAnsi="Times New Roman" w:cs="Times New Roman"/>
                <w:sz w:val="28"/>
                <w:szCs w:val="28"/>
              </w:rPr>
              <w:t>цен товаров, работ, услуг)»</w:t>
            </w:r>
          </w:p>
          <w:p w:rsidR="009B19CC" w:rsidRPr="009B19CC" w:rsidRDefault="009B19CC" w:rsidP="009B1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19CC" w:rsidRPr="009B19CC" w:rsidRDefault="009B19CC" w:rsidP="009B1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9CC" w:rsidRPr="009B19CC" w:rsidRDefault="009B19CC" w:rsidP="009B19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9CC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от 05.04.2013</w:t>
      </w: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CC">
        <w:rPr>
          <w:rFonts w:ascii="Times New Roman" w:hAnsi="Times New Roman" w:cs="Times New Roman"/>
          <w:sz w:val="28"/>
          <w:szCs w:val="28"/>
        </w:rPr>
        <w:t>№ 44</w:t>
      </w:r>
      <w:r w:rsidR="00AE1EDD">
        <w:rPr>
          <w:rFonts w:ascii="Times New Roman" w:hAnsi="Times New Roman" w:cs="Times New Roman"/>
          <w:sz w:val="28"/>
          <w:szCs w:val="28"/>
        </w:rPr>
        <w:t>-</w:t>
      </w:r>
      <w:r w:rsidRPr="009B19CC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</w:t>
      </w:r>
      <w:proofErr w:type="gramStart"/>
      <w:r w:rsidRPr="009B19C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36803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9CC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нужд», постановлением Правительства Российской Федерации от 02.09.2015 №</w:t>
      </w:r>
      <w:r w:rsidR="00AE1EDD">
        <w:rPr>
          <w:rFonts w:ascii="Times New Roman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hAnsi="Times New Roman" w:cs="Times New Roman"/>
          <w:sz w:val="28"/>
          <w:szCs w:val="28"/>
        </w:rPr>
        <w:t xml:space="preserve"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</w:t>
      </w:r>
      <w:r w:rsidR="00E80326">
        <w:rPr>
          <w:rFonts w:ascii="Times New Roman" w:hAnsi="Times New Roman" w:cs="Times New Roman"/>
          <w:sz w:val="28"/>
          <w:szCs w:val="28"/>
        </w:rPr>
        <w:t>Главы Карагинского муниципального района</w:t>
      </w:r>
      <w:r w:rsidRPr="009B19CC">
        <w:rPr>
          <w:rFonts w:ascii="Times New Roman" w:hAnsi="Times New Roman" w:cs="Times New Roman"/>
          <w:sz w:val="28"/>
          <w:szCs w:val="28"/>
        </w:rPr>
        <w:t xml:space="preserve"> от </w:t>
      </w:r>
      <w:r w:rsidR="00C52D01">
        <w:rPr>
          <w:rFonts w:ascii="Times New Roman" w:hAnsi="Times New Roman" w:cs="Times New Roman"/>
          <w:sz w:val="28"/>
          <w:szCs w:val="28"/>
        </w:rPr>
        <w:t>10 августа 2016 года</w:t>
      </w:r>
      <w:r w:rsidRPr="009B19CC">
        <w:rPr>
          <w:rFonts w:ascii="Times New Roman" w:hAnsi="Times New Roman" w:cs="Times New Roman"/>
          <w:sz w:val="28"/>
          <w:szCs w:val="28"/>
        </w:rPr>
        <w:t xml:space="preserve"> № </w:t>
      </w:r>
      <w:r w:rsidR="00C52D01">
        <w:rPr>
          <w:rFonts w:ascii="Times New Roman" w:hAnsi="Times New Roman" w:cs="Times New Roman"/>
          <w:sz w:val="28"/>
          <w:szCs w:val="28"/>
        </w:rPr>
        <w:t>158</w:t>
      </w:r>
      <w:r w:rsidR="00E80326">
        <w:rPr>
          <w:rFonts w:ascii="Times New Roman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Камчатского края о нормировании в</w:t>
      </w:r>
      <w:proofErr w:type="gramEnd"/>
      <w:r w:rsidRPr="009B19CC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 w:rsidR="001B5D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31F2" w:rsidRDefault="004431F2" w:rsidP="009B1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jc w:val="both"/>
        <w:rPr>
          <w:rFonts w:ascii="Times New Roman" w:hAnsi="Times New Roman" w:cs="Times New Roman"/>
          <w:sz w:val="28"/>
          <w:szCs w:val="28"/>
        </w:rPr>
      </w:pPr>
      <w:r w:rsidRPr="009B19CC">
        <w:rPr>
          <w:rFonts w:ascii="Times New Roman" w:hAnsi="Times New Roman" w:cs="Times New Roman"/>
          <w:sz w:val="28"/>
          <w:szCs w:val="28"/>
        </w:rPr>
        <w:t>ПОСТАНОВЛЯЮ</w:t>
      </w:r>
    </w:p>
    <w:p w:rsidR="009B19CC" w:rsidRPr="009B19CC" w:rsidRDefault="009B19CC" w:rsidP="009B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>1. Утвердить Правила опре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 xml:space="preserve">деления требований к закупаемым </w:t>
      </w:r>
      <w:r w:rsidR="009B79C1">
        <w:rPr>
          <w:rFonts w:ascii="Times New Roman" w:hAnsi="Times New Roman" w:cs="Times New Roman"/>
          <w:sz w:val="28"/>
          <w:szCs w:val="28"/>
        </w:rPr>
        <w:t>органами местного самоуправления и подведомственными им казенными учреждениями</w:t>
      </w:r>
      <w:r w:rsidR="009B79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Карагинского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 согласно приложению к настоящему постановлению.</w:t>
      </w:r>
    </w:p>
    <w:p w:rsidR="009B19CC" w:rsidRPr="009B19CC" w:rsidRDefault="009B19CC" w:rsidP="009B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2. Рекомендовать иным 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муниципальным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органам 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Карагинского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, руководствоваться приложением к настоящему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lastRenderedPageBreak/>
        <w:t>постановлению при определении требований к закупаемым отдельным видам товаров, работ, услуг (в том числе предельных цен товаров, работ, услуг).</w:t>
      </w:r>
    </w:p>
    <w:p w:rsidR="009B19CC" w:rsidRPr="009B19CC" w:rsidRDefault="009B19CC" w:rsidP="009B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9B79C1">
        <w:rPr>
          <w:rFonts w:ascii="Times New Roman" w:eastAsia="TimesNewRomanPSMT" w:hAnsi="Times New Roman" w:cs="Times New Roman"/>
          <w:sz w:val="28"/>
          <w:szCs w:val="28"/>
        </w:rPr>
        <w:t>с 01 января 2017 года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B19CC" w:rsidRPr="009B19CC" w:rsidRDefault="009B1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EF125A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B19CC" w:rsidRPr="009B19C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19CC" w:rsidRPr="009B19CC">
        <w:rPr>
          <w:rFonts w:ascii="Times New Roman" w:hAnsi="Times New Roman" w:cs="Times New Roman"/>
          <w:sz w:val="28"/>
          <w:szCs w:val="28"/>
        </w:rPr>
        <w:t xml:space="preserve"> Карагинского</w:t>
      </w:r>
    </w:p>
    <w:p w:rsid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C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EF125A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EF125A"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</w:p>
    <w:p w:rsidR="00C52D01" w:rsidRDefault="00C52D01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D01" w:rsidRDefault="00C52D01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D01" w:rsidRDefault="00C52D01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52D01" w:rsidRDefault="003418DE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2D01">
        <w:rPr>
          <w:rFonts w:ascii="Times New Roman" w:hAnsi="Times New Roman" w:cs="Times New Roman"/>
          <w:sz w:val="28"/>
          <w:szCs w:val="28"/>
        </w:rPr>
        <w:t xml:space="preserve">ачальник правового отдела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31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Н.А. Щербина</w:t>
      </w:r>
    </w:p>
    <w:p w:rsidR="00C52D01" w:rsidRDefault="00C52D01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D01" w:rsidRDefault="009B79C1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2D01">
        <w:rPr>
          <w:rFonts w:ascii="Times New Roman" w:hAnsi="Times New Roman" w:cs="Times New Roman"/>
          <w:sz w:val="28"/>
          <w:szCs w:val="28"/>
        </w:rPr>
        <w:t xml:space="preserve">ачальник самостоятельного отдела </w:t>
      </w:r>
      <w:proofErr w:type="gramStart"/>
      <w:r w:rsidR="00C52D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52D01" w:rsidRPr="009B19CC" w:rsidRDefault="00C52D01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экономическому развитию и инвест</w:t>
      </w:r>
      <w:r w:rsidR="004431F2">
        <w:rPr>
          <w:rFonts w:ascii="Times New Roman" w:hAnsi="Times New Roman" w:cs="Times New Roman"/>
          <w:sz w:val="28"/>
          <w:szCs w:val="28"/>
        </w:rPr>
        <w:t xml:space="preserve">ициям                       </w:t>
      </w:r>
      <w:r w:rsidR="009B79C1">
        <w:rPr>
          <w:rFonts w:ascii="Times New Roman" w:hAnsi="Times New Roman" w:cs="Times New Roman"/>
          <w:sz w:val="28"/>
          <w:szCs w:val="28"/>
        </w:rPr>
        <w:t>А.С. Булыгина</w:t>
      </w: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EDD" w:rsidRDefault="00AE1EDD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CC" w:rsidRPr="009B19CC" w:rsidRDefault="009B19CC" w:rsidP="009B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504" w:rsidRPr="00DB717A" w:rsidRDefault="001F4504" w:rsidP="001F450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717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  <w:proofErr w:type="gramStart"/>
      <w:r w:rsidRPr="00DB717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B71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04" w:rsidRPr="00DB717A" w:rsidRDefault="001F4504" w:rsidP="001F450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717A">
        <w:rPr>
          <w:rFonts w:ascii="Times New Roman" w:hAnsi="Times New Roman" w:cs="Times New Roman"/>
          <w:sz w:val="20"/>
          <w:szCs w:val="20"/>
        </w:rPr>
        <w:t>постановлению Главы КМР</w:t>
      </w:r>
    </w:p>
    <w:p w:rsidR="009B19CC" w:rsidRPr="00DB717A" w:rsidRDefault="001F4504" w:rsidP="001F450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717A">
        <w:rPr>
          <w:rFonts w:ascii="Times New Roman" w:hAnsi="Times New Roman" w:cs="Times New Roman"/>
          <w:sz w:val="20"/>
          <w:szCs w:val="20"/>
        </w:rPr>
        <w:t xml:space="preserve"> № __ от _______</w:t>
      </w:r>
    </w:p>
    <w:p w:rsidR="001F4504" w:rsidRDefault="001F4504" w:rsidP="009B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B19CC" w:rsidRDefault="009B19CC" w:rsidP="009B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>Правила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B19CC" w:rsidRDefault="009B19CC" w:rsidP="009B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определения требований к закупаемым </w:t>
      </w:r>
      <w:r w:rsidR="005C695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подведомственными </w:t>
      </w:r>
      <w:r w:rsidR="009B79C1">
        <w:rPr>
          <w:rFonts w:ascii="Times New Roman" w:hAnsi="Times New Roman" w:cs="Times New Roman"/>
          <w:sz w:val="28"/>
          <w:szCs w:val="28"/>
        </w:rPr>
        <w:t xml:space="preserve">им </w:t>
      </w:r>
      <w:r w:rsidR="005C6954">
        <w:rPr>
          <w:rFonts w:ascii="Times New Roman" w:hAnsi="Times New Roman" w:cs="Times New Roman"/>
          <w:sz w:val="28"/>
          <w:szCs w:val="28"/>
        </w:rPr>
        <w:t>казенными учреждениями</w:t>
      </w:r>
      <w:r w:rsidR="005C6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5DAF">
        <w:rPr>
          <w:rFonts w:ascii="Times New Roman" w:eastAsia="TimesNewRomanPSMT" w:hAnsi="Times New Roman" w:cs="Times New Roman"/>
          <w:sz w:val="28"/>
          <w:szCs w:val="28"/>
        </w:rPr>
        <w:t>Карагинского муниципального района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отдельным видам товаров,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работ, услуг (в том числе предельных цен товаров, работ, услуг)</w:t>
      </w:r>
    </w:p>
    <w:p w:rsidR="009B19CC" w:rsidRDefault="009B19CC" w:rsidP="009B19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9B19CC" w:rsidRDefault="009B19CC" w:rsidP="00D3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gramStart"/>
      <w:r w:rsidRPr="009B19CC">
        <w:rPr>
          <w:rFonts w:ascii="Times New Roman" w:eastAsia="TimesNewRomanPSMT" w:hAnsi="Times New Roman" w:cs="Times New Roman"/>
          <w:sz w:val="28"/>
          <w:szCs w:val="28"/>
        </w:rPr>
        <w:t>Настоящие Правила разработаны в соответствии с Федеральным законом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от 05.04.2013 № 44ФЗ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«О контрактной системе в сфере закупок товаров, работ,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услуг для обеспечения государственных и муниципальных нужд», постановлением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Правительства Российской Федерации от 02.09.2015 №926 «Об утверждении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общих правил определения требований к закупаемым заказчиками отдельным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видам товаров, работ, услуг (в том числе предельных цен товаров, работ,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услуг)», постановлением Правительства Камчатского края от</w:t>
      </w:r>
      <w:proofErr w:type="gramEnd"/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B19CC">
        <w:rPr>
          <w:rFonts w:ascii="Times New Roman" w:eastAsia="TimesNewRomanPSMT" w:hAnsi="Times New Roman" w:cs="Times New Roman"/>
          <w:sz w:val="28"/>
          <w:szCs w:val="28"/>
        </w:rPr>
        <w:t>11.02.2016 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33П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«Об утверждении требований к порядку разработки и принятия правовых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актов Камчатского края о нормировании в сфере закупок товаров, работ, услуг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для обеспечения государственных нужд Камчатского края, содержанию указанных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актов и обеспечению их исполнения» и регулируют вопросы определения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требований к закупаемым </w:t>
      </w:r>
      <w:r w:rsidR="009B79C1">
        <w:rPr>
          <w:rFonts w:ascii="Times New Roman" w:hAnsi="Times New Roman" w:cs="Times New Roman"/>
          <w:sz w:val="28"/>
          <w:szCs w:val="28"/>
        </w:rPr>
        <w:t>органами местного самоуправления и подведомственными им казенными учреждениями (далее – Муниципальные заказчики)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отдельным видам товаров, работ, услуг (в том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B19CC">
        <w:rPr>
          <w:rFonts w:ascii="Times New Roman" w:eastAsia="TimesNewRomanPSMT" w:hAnsi="Times New Roman" w:cs="Times New Roman"/>
          <w:sz w:val="28"/>
          <w:szCs w:val="28"/>
        </w:rPr>
        <w:t>числе</w:t>
      </w:r>
      <w:proofErr w:type="gramEnd"/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предельных цен товаров, работ, услуг).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="009B79C1">
        <w:rPr>
          <w:rFonts w:ascii="Times New Roman" w:eastAsia="TimesNewRomanPSMT" w:hAnsi="Times New Roman" w:cs="Times New Roman"/>
          <w:sz w:val="28"/>
          <w:szCs w:val="28"/>
        </w:rPr>
        <w:t>Муниципальные з</w:t>
      </w:r>
      <w:r w:rsidR="001B5DAF">
        <w:rPr>
          <w:rFonts w:ascii="Times New Roman" w:eastAsia="TimesNewRomanPSMT" w:hAnsi="Times New Roman" w:cs="Times New Roman"/>
          <w:sz w:val="28"/>
          <w:szCs w:val="28"/>
        </w:rPr>
        <w:t>аказчики</w:t>
      </w:r>
      <w:r w:rsidR="00B12EB7">
        <w:rPr>
          <w:rFonts w:ascii="Times New Roman" w:eastAsia="TimesNewRomanPSMT" w:hAnsi="Times New Roman" w:cs="Times New Roman"/>
          <w:sz w:val="28"/>
          <w:szCs w:val="28"/>
        </w:rPr>
        <w:t xml:space="preserve"> Карагинского муниципального района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утверждают определенные в соответствии с настоящими Правилами требования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качества) и иные характеристики (в том числе предельные цены товаров, работ, услуг) (далее ведомственный перечень).</w:t>
      </w:r>
    </w:p>
    <w:p w:rsid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gramStart"/>
      <w:r w:rsidRPr="009B19CC">
        <w:rPr>
          <w:rFonts w:ascii="Times New Roman" w:eastAsia="TimesNewRomanPSMT" w:hAnsi="Times New Roman" w:cs="Times New Roman"/>
          <w:sz w:val="28"/>
          <w:szCs w:val="28"/>
        </w:rPr>
        <w:t>Ведомственный перечень составляется по форме согласно приложению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2 к настоящим Правилам на основании обязательного перечня отдельных видов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товаров, работ, услуг, в отношении которых определяются требования к их потребительским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свойствам (в том числе качеству) и иным характеристикам (в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том числе предельные цены товаров, работ, услуг), предусмотренного приложением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1 к настоящим Правилам (далее обязательный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перечень).</w:t>
      </w:r>
      <w:proofErr w:type="gramEnd"/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>4. В отношении отдельных видов товаров, работ, услуг, включенных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обязательный перечень, в ведомственном перечне определяются их потребительские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свойства (в том числе качество) и иные характеристики (в том числе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предельные цены указанных товаров, работ, услуг), если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lastRenderedPageBreak/>
        <w:t>указанные свойства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характеристики не определены в обязательном перечне.</w:t>
      </w:r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Муниципальные заказчики</w:t>
      </w:r>
      <w:r w:rsidR="00B12EB7">
        <w:rPr>
          <w:rFonts w:ascii="Times New Roman" w:eastAsia="TimesNewRomanPSMT" w:hAnsi="Times New Roman" w:cs="Times New Roman"/>
          <w:sz w:val="28"/>
          <w:szCs w:val="28"/>
        </w:rPr>
        <w:t xml:space="preserve"> Карагинского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ведомственном перечне определяют значения характеристик (свойств) отдельных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видов товаров, работ, услуг (в том числе предельные цены товаров, работ,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услуг), включенных в обязательный перечень, в случае, если в обязательном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перечне не определены значения таких характеристик (свойств) (в том числе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предельные цены товаров, работ, услуг).</w:t>
      </w:r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>6. Отдельные виды товаров, работ, услуг, не включенные в обязательный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перечень, подлежат включению в ведомственный перечень при условии, если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средняя арифметическая сумма значений следующих критериев превышает 20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процентов:</w:t>
      </w:r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B19CC">
        <w:rPr>
          <w:rFonts w:ascii="Times New Roman" w:eastAsia="TimesNewRomanPSMT" w:hAnsi="Times New Roman" w:cs="Times New Roman"/>
          <w:sz w:val="28"/>
          <w:szCs w:val="28"/>
        </w:rPr>
        <w:t>1) доля оплаты по отдельному виду товаров, работ, услуг за отчетный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финансовый год (в соответствии с графиками платежей) по контрактам, информация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о которых включена в реестр контрактов, заключенных 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муниципальными заказчиками Карагинского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, в общем объеме оплаты по ко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нтрактам, включенным в указанный реестр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(по графикам платежей), заключенным этим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муниципальными заказчиками Карагинского муниципального района;</w:t>
      </w:r>
      <w:proofErr w:type="gramEnd"/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2) доля контрактов на приобретение отдельного вида товаров, работ, услуг, заключенных в отчетном финансовом году 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муниципальными заказчиками Карагинского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, в общем количестве контрактов в отчетном финансовом году на приобретение товаров, работ, услуг, заключенных этим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муниципальными заказчиками Карагинского муниципального района.</w:t>
      </w:r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proofErr w:type="gramStart"/>
      <w:r w:rsidR="00D333FB">
        <w:rPr>
          <w:rFonts w:ascii="Times New Roman" w:eastAsia="TimesNewRomanPSMT" w:hAnsi="Times New Roman" w:cs="Times New Roman"/>
          <w:sz w:val="28"/>
          <w:szCs w:val="28"/>
        </w:rPr>
        <w:t>Муниципальные заказчики Карагинского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включении в ведомственный перечень отдельных видов товаров, работ, услуг,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не указанных в обязательном перечне, применяют установленные частью 6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настоящих Правил критерии исходя из определения их значений в процентном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отношении к объему осуществляемых 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муниципальными заказчиками Карагинского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закупок товаров, работ, услуг для обеспечения нужд Ка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(далее закупки).</w:t>
      </w:r>
      <w:proofErr w:type="gramEnd"/>
    </w:p>
    <w:p w:rsid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8. В целях формирования ведомственного перечня 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муниципальные заказчики Карагинского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вправе определять дополнительные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критерии отбора отдельных видов товаров, работ, услуг и порядок их применения,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не приводящие к сокращению значения критериев, установленных частью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6 настоящих Правил.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r w:rsidR="00D333FB">
        <w:rPr>
          <w:rFonts w:ascii="Times New Roman" w:eastAsia="TimesNewRomanPSMT" w:hAnsi="Times New Roman" w:cs="Times New Roman"/>
          <w:sz w:val="28"/>
          <w:szCs w:val="28"/>
        </w:rPr>
        <w:t>Муниципальные заказчики Карагинского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при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формировании ведомственного перечня вправе включить в него дополнительно:</w:t>
      </w:r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>1) отдельные виды товаров, работ, услуг, не указанные в обязательном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перечне и не соответствующие критериям, указанным в части 6 настоящих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Правил;</w:t>
      </w:r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lastRenderedPageBreak/>
        <w:t>2) характеристики (свойства) товаров, работ, услуг, не включенные в обязательный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перечень и не приводящие к необоснованным ограничениям количества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участников закупки;</w:t>
      </w:r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B19CC">
        <w:rPr>
          <w:rFonts w:ascii="Times New Roman" w:eastAsia="TimesNewRomanPSMT" w:hAnsi="Times New Roman" w:cs="Times New Roman"/>
          <w:sz w:val="28"/>
          <w:szCs w:val="28"/>
        </w:rPr>
        <w:t>3) значения количественных и (или) качественных показателей характеристик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(свойств) товаров, работ, услуг, которые отличаются от значений,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предусмотренных обязательным перечнем, и обоснование которых содержится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в соответствующей графе таблицы приложения 2 к настоящим Правилам, в том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числе с учетом функционального назначения товара, под которым для целей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настоящих Правил понимается цель и условия использования (применения) товара,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позволяющие товару выполнять свое основное назначение, вспомогательные</w:t>
      </w:r>
      <w:proofErr w:type="gramEnd"/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функции или определяющие универсальность применения товара (выполнение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соответствующих функций, работ, оказание соответствующих услуг,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территориальные, климатические факторы и другое).</w:t>
      </w:r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>10. Значения потребительских свойств и иных характеристик (в том числе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предельные цены) отдельных видов товаров, работ, услуг, включенных в ведомственный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перечень, устанавливаются:</w:t>
      </w:r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1) с учетом категорий и (или) групп должностей работников </w:t>
      </w:r>
      <w:r w:rsidR="0094011A">
        <w:rPr>
          <w:rFonts w:ascii="Times New Roman" w:eastAsia="TimesNewRomanPSMT" w:hAnsi="Times New Roman" w:cs="Times New Roman"/>
          <w:sz w:val="28"/>
          <w:szCs w:val="28"/>
        </w:rPr>
        <w:t>муниципальных заказчиков Карагинского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, если Правилами определения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нормативных затрат на обеспечение функций </w:t>
      </w:r>
      <w:r w:rsidR="0094011A">
        <w:rPr>
          <w:rFonts w:ascii="Times New Roman" w:eastAsia="TimesNewRomanPSMT" w:hAnsi="Times New Roman" w:cs="Times New Roman"/>
          <w:sz w:val="28"/>
          <w:szCs w:val="28"/>
        </w:rPr>
        <w:t>муниципальных заказчиков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, утвержденными постановлением </w:t>
      </w:r>
      <w:r w:rsidR="0094011A">
        <w:rPr>
          <w:rFonts w:ascii="Times New Roman" w:eastAsia="TimesNewRomanPSMT" w:hAnsi="Times New Roman" w:cs="Times New Roman"/>
          <w:sz w:val="28"/>
          <w:szCs w:val="28"/>
        </w:rPr>
        <w:t>Главы администрации Карагинского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 (далее Правила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определения нормативных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затрат), предусмотрено установление затрат на приобретение отдельных видов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товаров, работ, услуг с учетом категорий и (или) групп должностей работников;</w:t>
      </w:r>
      <w:proofErr w:type="gramEnd"/>
    </w:p>
    <w:p w:rsidR="001F4504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2) с учетом категорий и (или) групп должностей работников </w:t>
      </w:r>
      <w:r w:rsidR="0094011A">
        <w:rPr>
          <w:rFonts w:ascii="Times New Roman" w:eastAsia="TimesNewRomanPSMT" w:hAnsi="Times New Roman" w:cs="Times New Roman"/>
          <w:sz w:val="28"/>
          <w:szCs w:val="28"/>
        </w:rPr>
        <w:t>муниципальных заказчиков Карагинского муниципального района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, если Правилами определения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нормативных затрат не предусмотрено установление затрат на приобретение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отдельных видов товаров, работ, услуг с учетом категорий и (или) групп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должностей работников, в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 xml:space="preserve">случае принятия соответствующего решения </w:t>
      </w:r>
      <w:r w:rsidR="0094011A">
        <w:rPr>
          <w:rFonts w:ascii="Times New Roman" w:eastAsia="TimesNewRomanPSMT" w:hAnsi="Times New Roman" w:cs="Times New Roman"/>
          <w:sz w:val="28"/>
          <w:szCs w:val="28"/>
        </w:rPr>
        <w:t>муниципальными заказчиками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B19CC" w:rsidRP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>11. Дополнительно включаемые в ведомственный перечень отдельные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виды товаров, работ, услуг должны отличаться от указанных в обязательном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перечне отдельных видов товаров, работ, услуг кодом товара, работы, услуги в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соответствии с Общероссийским классификатором продукции по видам экономической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деятельности.</w:t>
      </w:r>
    </w:p>
    <w:p w:rsidR="009B19CC" w:rsidRDefault="009B19CC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19CC">
        <w:rPr>
          <w:rFonts w:ascii="Times New Roman" w:eastAsia="TimesNewRomanPSMT" w:hAnsi="Times New Roman" w:cs="Times New Roman"/>
          <w:sz w:val="28"/>
          <w:szCs w:val="28"/>
        </w:rPr>
        <w:t>12. Цена единицы планируемых к закупке товаров, работ, услуг не может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19CC">
        <w:rPr>
          <w:rFonts w:ascii="Times New Roman" w:eastAsia="TimesNewRomanPSMT" w:hAnsi="Times New Roman" w:cs="Times New Roman"/>
          <w:sz w:val="28"/>
          <w:szCs w:val="28"/>
        </w:rPr>
        <w:t>быть выше предельной цены товаров, работ, услуг, установленной в ведомственном</w:t>
      </w:r>
      <w:r w:rsidR="001F4504">
        <w:rPr>
          <w:rFonts w:ascii="Times New Roman" w:eastAsia="TimesNewRomanPSMT" w:hAnsi="Times New Roman" w:cs="Times New Roman"/>
          <w:sz w:val="28"/>
          <w:szCs w:val="28"/>
        </w:rPr>
        <w:t xml:space="preserve"> перечне.</w:t>
      </w:r>
    </w:p>
    <w:p w:rsidR="001F4504" w:rsidRDefault="001F4504" w:rsidP="00EC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F4504" w:rsidRDefault="001F4504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F4504" w:rsidRDefault="001F4504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F4504" w:rsidSect="00436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BC1" w:rsidRPr="00DB717A" w:rsidRDefault="00EC7BC1" w:rsidP="00EC7B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717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  <w:proofErr w:type="gramStart"/>
      <w:r w:rsidRPr="00DB717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B71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7BC1" w:rsidRPr="00DB717A" w:rsidRDefault="00EC7BC1" w:rsidP="00EC7B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717A">
        <w:rPr>
          <w:rFonts w:ascii="Times New Roman" w:hAnsi="Times New Roman" w:cs="Times New Roman"/>
          <w:sz w:val="20"/>
          <w:szCs w:val="20"/>
        </w:rPr>
        <w:t>постановлению Главы КМР</w:t>
      </w:r>
    </w:p>
    <w:p w:rsidR="00EC7BC1" w:rsidRPr="00EC7BC1" w:rsidRDefault="00EC7BC1" w:rsidP="00EC7B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17A">
        <w:rPr>
          <w:rFonts w:ascii="Times New Roman" w:hAnsi="Times New Roman" w:cs="Times New Roman"/>
          <w:sz w:val="20"/>
          <w:szCs w:val="20"/>
        </w:rPr>
        <w:t xml:space="preserve"> № __ от _______</w:t>
      </w:r>
    </w:p>
    <w:p w:rsidR="001F4504" w:rsidRPr="00EC7BC1" w:rsidRDefault="001F4504" w:rsidP="001F45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504" w:rsidRPr="00EC7BC1" w:rsidRDefault="001F4504" w:rsidP="001F4504">
      <w:pPr>
        <w:pStyle w:val="1"/>
        <w:rPr>
          <w:rFonts w:ascii="Times New Roman" w:hAnsi="Times New Roman" w:cs="Times New Roman"/>
          <w:sz w:val="28"/>
          <w:szCs w:val="28"/>
        </w:rPr>
      </w:pPr>
      <w:r w:rsidRPr="00EC7BC1">
        <w:rPr>
          <w:rFonts w:ascii="Times New Roman" w:hAnsi="Times New Roman" w:cs="Times New Roman"/>
          <w:sz w:val="28"/>
          <w:szCs w:val="28"/>
        </w:rPr>
        <w:t>Обязательный перечень</w:t>
      </w:r>
      <w:r w:rsidRPr="00EC7BC1">
        <w:rPr>
          <w:rFonts w:ascii="Times New Roman" w:hAnsi="Times New Roman" w:cs="Times New Roman"/>
          <w:sz w:val="28"/>
          <w:szCs w:val="28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1F4504" w:rsidRPr="00EC7BC1" w:rsidRDefault="001F4504" w:rsidP="001F45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566"/>
        <w:gridCol w:w="1561"/>
        <w:gridCol w:w="1276"/>
        <w:gridCol w:w="709"/>
        <w:gridCol w:w="709"/>
        <w:gridCol w:w="1135"/>
        <w:gridCol w:w="1135"/>
        <w:gridCol w:w="1132"/>
        <w:gridCol w:w="1138"/>
        <w:gridCol w:w="1135"/>
        <w:gridCol w:w="1129"/>
        <w:gridCol w:w="1129"/>
        <w:gridCol w:w="1276"/>
        <w:gridCol w:w="1276"/>
      </w:tblGrid>
      <w:tr w:rsidR="007A6AA3" w:rsidRPr="007A6AA3" w:rsidTr="00A47A81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sub_120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bookmarkEnd w:id="0"/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5" w:history="1">
              <w:r w:rsidRPr="007A6AA3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ОКПД</w:t>
              </w:r>
            </w:hyperlink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Наименование отдельного вида товаров, работ, услуг</w:t>
            </w:r>
          </w:p>
        </w:tc>
        <w:tc>
          <w:tcPr>
            <w:tcW w:w="13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AA3" w:rsidRPr="007A6AA3" w:rsidRDefault="007A6AA3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A6AA3" w:rsidRPr="007A6AA3" w:rsidTr="00A47A81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характеристика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AA3" w:rsidRPr="007A6AA3" w:rsidRDefault="007A6AA3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</w:t>
            </w:r>
          </w:p>
        </w:tc>
      </w:tr>
      <w:tr w:rsidR="007A6AA3" w:rsidRPr="007A6AA3" w:rsidTr="00A47A81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6" w:history="1">
              <w:r w:rsidRPr="007A6AA3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3" w:rsidRPr="007A6AA3" w:rsidRDefault="007A6AA3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AA3" w:rsidRPr="007A6AA3" w:rsidRDefault="007A6AA3" w:rsidP="0057723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Муниципальный орган местного самоуправления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AA3" w:rsidRPr="007A6AA3" w:rsidRDefault="007A6AA3" w:rsidP="0057723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Муниципальные учреждения Карагинского района</w:t>
            </w:r>
          </w:p>
        </w:tc>
      </w:tr>
      <w:tr w:rsidR="00A47A81" w:rsidRPr="007A6AA3" w:rsidTr="00F57136">
        <w:trPr>
          <w:trHeight w:val="184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A47A81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 категории «руководитель» высшей группы должностей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A47A81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 категории «руководитель» главной, ведущей группы должностей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A47A81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 категории «помощники (советники)» высшей, главной, ведущей группы должностей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A47A81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 категории «специалисты» главной, ведущей, старшей группы должностей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A47A81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 категории «обеспечивающие специалисты» главной, ведущей, старшей, младшей группы должностей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A47A81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Муниципальные должности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81" w:rsidRPr="007A6AA3" w:rsidRDefault="00A47A81" w:rsidP="0003484E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Должности, не относящиеся к должностям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47A81" w:rsidRPr="007A6AA3" w:rsidRDefault="00A47A81" w:rsidP="0003484E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Руководитель, заместитель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47A81" w:rsidRPr="007A6AA3" w:rsidRDefault="00A47A81" w:rsidP="0003484E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Иные должности</w:t>
            </w:r>
          </w:p>
        </w:tc>
      </w:tr>
      <w:tr w:rsidR="00A47A81" w:rsidRPr="007A6AA3" w:rsidTr="00F5713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81" w:rsidRPr="007A6AA3" w:rsidRDefault="00A47A81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F57136" w:rsidRPr="007A6AA3" w:rsidTr="00F57136">
        <w:trPr>
          <w:trHeight w:val="397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30.02.12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сабноутбуки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").</w:t>
            </w:r>
          </w:p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Wi-Fi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Bluetooth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7136" w:rsidRPr="007A6AA3" w:rsidTr="00F57136">
        <w:trPr>
          <w:trHeight w:val="42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Предельная цена – планшетный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991C1E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991C1E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A47A81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A47A81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A47A81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</w:tr>
      <w:tr w:rsidR="00F57136" w:rsidRPr="007A6AA3" w:rsidTr="00F57136">
        <w:trPr>
          <w:trHeight w:val="40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Предельная цена – ноутбук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991C1E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991C1E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A47A81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A47A81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A47A81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</w:tr>
      <w:tr w:rsidR="00F57136" w:rsidRPr="007A6AA3" w:rsidTr="00F57136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30.02.15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ств дл</w:t>
            </w:r>
            <w:proofErr w:type="gram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A47A81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7136" w:rsidRPr="007A6AA3" w:rsidTr="00F57136"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A47A81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A47A81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65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65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65</w:t>
            </w:r>
          </w:p>
        </w:tc>
      </w:tr>
      <w:tr w:rsidR="00F57136" w:rsidRPr="007A6AA3" w:rsidTr="00F57136">
        <w:trPr>
          <w:trHeight w:val="4831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30.02.16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7136" w:rsidRPr="007A6AA3" w:rsidTr="00F57136">
        <w:trPr>
          <w:trHeight w:val="56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Предельная цена - МФУ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 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Default="00F57136">
            <w:r w:rsidRPr="00545085">
              <w:rPr>
                <w:rFonts w:ascii="Times New Roman" w:hAnsi="Times New Roman" w:cs="Times New Roman"/>
                <w:sz w:val="14"/>
                <w:szCs w:val="14"/>
              </w:rPr>
              <w:t>Не более  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>
            <w:r w:rsidRPr="00545085">
              <w:rPr>
                <w:rFonts w:ascii="Times New Roman" w:hAnsi="Times New Roman" w:cs="Times New Roman"/>
                <w:sz w:val="14"/>
                <w:szCs w:val="14"/>
              </w:rPr>
              <w:t>Не более  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>
            <w:r w:rsidRPr="00545085">
              <w:rPr>
                <w:rFonts w:ascii="Times New Roman" w:hAnsi="Times New Roman" w:cs="Times New Roman"/>
                <w:sz w:val="14"/>
                <w:szCs w:val="14"/>
              </w:rPr>
              <w:t>Не более  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>
            <w:r w:rsidRPr="00545085">
              <w:rPr>
                <w:rFonts w:ascii="Times New Roman" w:hAnsi="Times New Roman" w:cs="Times New Roman"/>
                <w:sz w:val="14"/>
                <w:szCs w:val="14"/>
              </w:rPr>
              <w:t>Не более  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>
            <w:r w:rsidRPr="00545085">
              <w:rPr>
                <w:rFonts w:ascii="Times New Roman" w:hAnsi="Times New Roman" w:cs="Times New Roman"/>
                <w:sz w:val="14"/>
                <w:szCs w:val="14"/>
              </w:rPr>
              <w:t>Не более  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>
            <w:r w:rsidRPr="00545085">
              <w:rPr>
                <w:rFonts w:ascii="Times New Roman" w:hAnsi="Times New Roman" w:cs="Times New Roman"/>
                <w:sz w:val="14"/>
                <w:szCs w:val="14"/>
              </w:rPr>
              <w:t>Не более 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>
            <w:r w:rsidRPr="00545085">
              <w:rPr>
                <w:rFonts w:ascii="Times New Roman" w:hAnsi="Times New Roman" w:cs="Times New Roman"/>
                <w:sz w:val="14"/>
                <w:szCs w:val="14"/>
              </w:rPr>
              <w:t>Не более 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Default="00F57136">
            <w:r w:rsidRPr="00545085">
              <w:rPr>
                <w:rFonts w:ascii="Times New Roman" w:hAnsi="Times New Roman" w:cs="Times New Roman"/>
                <w:sz w:val="14"/>
                <w:szCs w:val="14"/>
              </w:rPr>
              <w:t>Не более  60</w:t>
            </w:r>
          </w:p>
        </w:tc>
      </w:tr>
      <w:tr w:rsidR="00F57136" w:rsidRPr="007A6AA3" w:rsidTr="00F57136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32.20.11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Аппаратура</w:t>
            </w:r>
            <w:proofErr w:type="gram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  <w:proofErr w:type="gramEnd"/>
          </w:p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интерфейсов (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Wi-Fi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End"/>
          </w:p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Bluetooth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  <w:proofErr w:type="gramEnd"/>
          </w:p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абонента (одну единицу трафика) в течение всего срока службы,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7136" w:rsidRPr="007A6AA3" w:rsidTr="00F57136"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рубль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не более 10 тыс.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не более 7 тыс.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Default="00F57136">
            <w:r w:rsidRPr="0076388F"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Default="00F57136">
            <w:r w:rsidRPr="0076388F"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Default="00F57136">
            <w:r w:rsidRPr="0076388F"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>
            <w:r w:rsidRPr="0076388F"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Default="00F57136">
            <w:r w:rsidRPr="0076388F"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</w:tr>
      <w:tr w:rsidR="00F57136" w:rsidRPr="007A6AA3" w:rsidTr="00F57136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34.10.22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Автомобили легковые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мощность двигателя, комплектация,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 w:rsidP="006A6C2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 w:rsidP="006A6C2D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Default="00F57136" w:rsidP="006A6C2D"/>
        </w:tc>
      </w:tr>
      <w:tr w:rsidR="00F57136" w:rsidRPr="007A6AA3" w:rsidTr="00F57136"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лошадиная сила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186E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 w:rsidP="006A6C2D">
            <w:r w:rsidRPr="0076388F"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 w:rsidP="006A6C2D">
            <w:r w:rsidRPr="0076388F"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Default="00F57136" w:rsidP="006A6C2D">
            <w:r w:rsidRPr="0076388F"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</w:tr>
      <w:tr w:rsidR="00F57136" w:rsidRPr="007A6AA3" w:rsidTr="00F57136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Средства автотранспортные для перевозки 10 человек и более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мощность двигателя, комплектация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Default="00F57136" w:rsidP="006A6C2D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Default="00F57136" w:rsidP="006A6C2D"/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7136" w:rsidRDefault="00F57136" w:rsidP="006A6C2D"/>
        </w:tc>
      </w:tr>
      <w:tr w:rsidR="00F57136" w:rsidRPr="007A6AA3" w:rsidTr="00F57136">
        <w:trPr>
          <w:trHeight w:val="161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34.10.30</w:t>
            </w: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7136" w:rsidRPr="007A6AA3" w:rsidTr="00F57136"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рублей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 w:rsidP="006A6C2D">
            <w:r w:rsidRPr="0076388F"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 w:rsidP="006A6C2D">
            <w:r w:rsidRPr="0076388F"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57136" w:rsidRDefault="00F57136" w:rsidP="006A6C2D">
            <w:r w:rsidRPr="0076388F"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</w:tr>
      <w:tr w:rsidR="00F57136" w:rsidRPr="007A6AA3" w:rsidTr="00F57136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34.10.41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Средства</w:t>
            </w:r>
          </w:p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автотранспортные</w:t>
            </w:r>
          </w:p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грузовые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6A6C2D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6A6C2D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7136" w:rsidRPr="007A6AA3" w:rsidTr="00F57136"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186E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186E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186E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186E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186E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186E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186E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186E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186E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186E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186E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закупается</w:t>
            </w:r>
          </w:p>
        </w:tc>
      </w:tr>
      <w:tr w:rsidR="00F57136" w:rsidRPr="007A6AA3" w:rsidTr="00F5713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36.11.11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Мебель для сидения с металлическим </w:t>
            </w: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каркасом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(офисная)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материал (металл), </w:t>
            </w: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предельное значение - </w:t>
            </w: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предельное значение -</w:t>
            </w:r>
          </w:p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искусственная кожа;</w:t>
            </w:r>
          </w:p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возможные значения:</w:t>
            </w:r>
          </w:p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мебельный (искусственный) мех,</w:t>
            </w:r>
          </w:p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искусственная замша (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предельное значение </w:t>
            </w: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искусственная кожа - ткань; возможное значение - нетканые материалы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предельное значение </w:t>
            </w: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искусственная кожа - ткань; возможное значение - нетканые материалы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предельное значение </w:t>
            </w: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искусственная кожа - ткань; возможное значение - нетканые материалы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предельное значение </w:t>
            </w: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искусственная кожа - ткань; возможное значение - нетканые материалы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предельное значение </w:t>
            </w: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искусственная кожа - ткань; возможное значение -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предельное значение - </w:t>
            </w: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искусственная кожа; возможные значения: мебельный (искусственный) мех, искусственная замша (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предельное значение </w:t>
            </w: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искусственная кожа - ткань; возможное значение - нетканые материалы</w:t>
            </w:r>
          </w:p>
        </w:tc>
      </w:tr>
      <w:tr w:rsidR="00F57136" w:rsidRPr="007A6AA3" w:rsidTr="00F57136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36.11.12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Мебель для сидения с деревянным каркасом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пород: береза,</w:t>
            </w:r>
          </w:p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лиственница, сосна, 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пород: береза, лиственница, сосна, ель</w:t>
            </w:r>
          </w:p>
        </w:tc>
      </w:tr>
      <w:tr w:rsidR="00F57136" w:rsidRPr="007A6AA3" w:rsidTr="00F57136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обивочные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 искусственная кожа, мебельный (искусственный) мех, искусственная</w:t>
            </w:r>
            <w:proofErr w:type="gramEnd"/>
          </w:p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замша (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искусственная кожа - ткань; возможное значение - нетканые материалы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искусственная кожа - ткань; возможное значение - нетканые материалы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искусственная кожа - ткань; возможное значение - нетканые материалы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искусственная кожа - ткань; возможное значение - нетканые материалы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искусственная кожа - ткань; возможное значение -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искусственная кожа - ткань; возможное значение - нетканые материалы</w:t>
            </w:r>
          </w:p>
        </w:tc>
      </w:tr>
      <w:tr w:rsidR="00F57136" w:rsidRPr="007A6AA3" w:rsidTr="00F5713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36.12.11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7136" w:rsidRPr="007A6AA3" w:rsidTr="00F5713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36.12.12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B12EB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7D1B0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36" w:rsidRPr="007A6AA3" w:rsidRDefault="00F57136" w:rsidP="00F57136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7A6AA3">
              <w:rPr>
                <w:rFonts w:ascii="Times New Roman" w:hAnsi="Times New Roman" w:cs="Times New Roman"/>
                <w:sz w:val="14"/>
                <w:szCs w:val="14"/>
              </w:rPr>
              <w:t xml:space="preserve"> пород</w:t>
            </w:r>
          </w:p>
        </w:tc>
      </w:tr>
    </w:tbl>
    <w:p w:rsidR="001F4504" w:rsidRDefault="001F4504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C7BC1" w:rsidRDefault="00EC7BC1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C7BC1" w:rsidRDefault="00EC7BC1" w:rsidP="00EC7B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BC1" w:rsidRPr="00EC7BC1" w:rsidRDefault="00EC7BC1" w:rsidP="00EC7B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7BC1">
        <w:rPr>
          <w:rFonts w:ascii="Times New Roman" w:hAnsi="Times New Roman" w:cs="Times New Roman"/>
          <w:sz w:val="24"/>
          <w:szCs w:val="24"/>
        </w:rPr>
        <w:t xml:space="preserve">Приложение №3 </w:t>
      </w:r>
      <w:proofErr w:type="gramStart"/>
      <w:r w:rsidRPr="00EC7B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7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BC1" w:rsidRPr="00EC7BC1" w:rsidRDefault="00EC7BC1" w:rsidP="00EC7B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7BC1">
        <w:rPr>
          <w:rFonts w:ascii="Times New Roman" w:hAnsi="Times New Roman" w:cs="Times New Roman"/>
          <w:sz w:val="24"/>
          <w:szCs w:val="24"/>
        </w:rPr>
        <w:t>постановлению Главы КМР</w:t>
      </w:r>
    </w:p>
    <w:p w:rsidR="00EC7BC1" w:rsidRPr="00EC7BC1" w:rsidRDefault="00EC7BC1" w:rsidP="00EC7B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7BC1">
        <w:rPr>
          <w:rFonts w:ascii="Times New Roman" w:hAnsi="Times New Roman" w:cs="Times New Roman"/>
          <w:sz w:val="24"/>
          <w:szCs w:val="24"/>
        </w:rPr>
        <w:t xml:space="preserve"> № __ от _______</w:t>
      </w:r>
    </w:p>
    <w:p w:rsidR="00EC7BC1" w:rsidRPr="00EC7BC1" w:rsidRDefault="00EC7BC1" w:rsidP="00EC7B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BC1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C7BC1">
        <w:rPr>
          <w:rFonts w:ascii="Times New Roman" w:hAnsi="Times New Roman" w:cs="Times New Roman"/>
          <w:b/>
          <w:sz w:val="28"/>
          <w:szCs w:val="28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EC7BC1" w:rsidRPr="00EC7BC1" w:rsidRDefault="00EC7BC1" w:rsidP="00EC7BC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06"/>
        <w:gridCol w:w="739"/>
        <w:gridCol w:w="10"/>
        <w:gridCol w:w="1583"/>
        <w:gridCol w:w="778"/>
        <w:gridCol w:w="24"/>
        <w:gridCol w:w="1622"/>
        <w:gridCol w:w="1325"/>
        <w:gridCol w:w="10"/>
        <w:gridCol w:w="2269"/>
        <w:gridCol w:w="1560"/>
        <w:gridCol w:w="1356"/>
        <w:gridCol w:w="175"/>
        <w:gridCol w:w="1593"/>
        <w:gridCol w:w="672"/>
        <w:gridCol w:w="12"/>
        <w:gridCol w:w="525"/>
      </w:tblGrid>
      <w:tr w:rsidR="00EC7BC1" w:rsidRPr="00EC7BC1" w:rsidTr="00EC7BC1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7BC1" w:rsidRPr="00EC7BC1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BC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C7B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C7B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C7B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1122F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ОКПД</w:t>
              </w:r>
            </w:hyperlink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EC7BC1" w:rsidRPr="00EC7BC1" w:rsidTr="00EC7BC1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7BC1" w:rsidRPr="00EC7BC1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122F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hyperlink w:anchor="sub_1111" w:history="1">
              <w:r w:rsidRPr="001122F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EC7BC1" w:rsidRPr="00EC7BC1" w:rsidTr="00EC7BC1">
        <w:tc>
          <w:tcPr>
            <w:tcW w:w="1502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C7BC1" w:rsidRPr="001122F9" w:rsidRDefault="00EC7BC1" w:rsidP="00112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1122F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приложением N </w:t>
              </w:r>
            </w:hyperlink>
            <w:r w:rsidR="001122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1122F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постановлением</w:t>
              </w:r>
            </w:hyperlink>
            <w:r w:rsidRPr="001122F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</w:t>
            </w:r>
            <w:proofErr w:type="gramEnd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2 сентября 2015 г. N 927</w:t>
            </w:r>
          </w:p>
        </w:tc>
      </w:tr>
      <w:tr w:rsidR="00EC7BC1" w:rsidRPr="00EC7BC1" w:rsidTr="00EC7BC1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BC1" w:rsidRPr="00EC7BC1" w:rsidTr="00EC7BC1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BC1" w:rsidRPr="00EC7BC1" w:rsidTr="00EC7BC1">
        <w:tc>
          <w:tcPr>
            <w:tcW w:w="1502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C7BC1" w:rsidRPr="001122F9" w:rsidRDefault="00EC7BC1" w:rsidP="00112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федеральным государственным органом, органом управления государственным </w:t>
            </w:r>
            <w:r w:rsidRPr="00112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 фондом Российской Федерации</w:t>
            </w:r>
          </w:p>
        </w:tc>
      </w:tr>
      <w:tr w:rsidR="00EC7BC1" w:rsidRPr="00EC7BC1" w:rsidTr="00EC7BC1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EC7BC1" w:rsidRPr="00EC7BC1" w:rsidTr="00EC7BC1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EC7BC1" w:rsidRPr="00EC7BC1" w:rsidTr="00EC7BC1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C1" w:rsidRPr="001122F9" w:rsidRDefault="00EC7BC1" w:rsidP="00EC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EC7BC1" w:rsidRPr="00EC7BC1" w:rsidRDefault="00EC7BC1" w:rsidP="00EC7BC1">
      <w:pPr>
        <w:rPr>
          <w:rFonts w:ascii="Times New Roman" w:hAnsi="Times New Roman" w:cs="Times New Roman"/>
          <w:sz w:val="20"/>
          <w:szCs w:val="20"/>
        </w:rPr>
      </w:pPr>
    </w:p>
    <w:p w:rsidR="00EC7BC1" w:rsidRPr="00EC7BC1" w:rsidRDefault="00EC7BC1" w:rsidP="00EC7BC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11"/>
      <w:r w:rsidRPr="00EC7BC1">
        <w:rPr>
          <w:rFonts w:ascii="Times New Roman" w:hAnsi="Times New Roman" w:cs="Times New Roman"/>
          <w:sz w:val="20"/>
          <w:szCs w:val="20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bookmarkEnd w:id="1"/>
    <w:p w:rsidR="00EC7BC1" w:rsidRPr="00EC7BC1" w:rsidRDefault="00EC7BC1" w:rsidP="00EC7BC1">
      <w:pPr>
        <w:rPr>
          <w:rFonts w:ascii="Times New Roman" w:hAnsi="Times New Roman" w:cs="Times New Roman"/>
          <w:sz w:val="20"/>
          <w:szCs w:val="20"/>
        </w:rPr>
      </w:pPr>
    </w:p>
    <w:p w:rsidR="00EC7BC1" w:rsidRPr="00EC7BC1" w:rsidRDefault="00EC7BC1" w:rsidP="00EC7BC1">
      <w:pPr>
        <w:rPr>
          <w:rFonts w:ascii="Times New Roman" w:hAnsi="Times New Roman" w:cs="Times New Roman"/>
          <w:sz w:val="20"/>
          <w:szCs w:val="20"/>
        </w:rPr>
      </w:pPr>
    </w:p>
    <w:p w:rsidR="00EC7BC1" w:rsidRPr="00EC7BC1" w:rsidRDefault="00EC7BC1" w:rsidP="00EC7BC1">
      <w:pPr>
        <w:rPr>
          <w:rFonts w:ascii="Times New Roman" w:hAnsi="Times New Roman" w:cs="Times New Roman"/>
          <w:sz w:val="20"/>
          <w:szCs w:val="20"/>
        </w:rPr>
      </w:pPr>
    </w:p>
    <w:p w:rsidR="00EC7BC1" w:rsidRPr="00EC7BC1" w:rsidRDefault="00EC7BC1" w:rsidP="00EC7BC1">
      <w:pPr>
        <w:rPr>
          <w:rFonts w:ascii="Times New Roman" w:hAnsi="Times New Roman" w:cs="Times New Roman"/>
          <w:sz w:val="20"/>
          <w:szCs w:val="20"/>
        </w:rPr>
      </w:pPr>
    </w:p>
    <w:p w:rsidR="00EC7BC1" w:rsidRPr="00EC7BC1" w:rsidRDefault="00EC7BC1" w:rsidP="00EC7B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7BC1" w:rsidRPr="00EC7BC1" w:rsidRDefault="00EC7BC1" w:rsidP="00EC7B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7BC1" w:rsidRPr="00EC7BC1" w:rsidRDefault="00EC7BC1" w:rsidP="001F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EC7BC1" w:rsidRPr="00EC7BC1" w:rsidSect="00EC7BC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B19CC"/>
    <w:rsid w:val="00011D61"/>
    <w:rsid w:val="0003484E"/>
    <w:rsid w:val="001053F9"/>
    <w:rsid w:val="001122F9"/>
    <w:rsid w:val="00171036"/>
    <w:rsid w:val="00186E07"/>
    <w:rsid w:val="001B5DAF"/>
    <w:rsid w:val="001F4504"/>
    <w:rsid w:val="003418DE"/>
    <w:rsid w:val="00436803"/>
    <w:rsid w:val="004431F2"/>
    <w:rsid w:val="00577237"/>
    <w:rsid w:val="005C31FC"/>
    <w:rsid w:val="005C6954"/>
    <w:rsid w:val="006A6C2D"/>
    <w:rsid w:val="007A6AA3"/>
    <w:rsid w:val="007D1B04"/>
    <w:rsid w:val="00820D71"/>
    <w:rsid w:val="0094011A"/>
    <w:rsid w:val="00991C1E"/>
    <w:rsid w:val="009B19CC"/>
    <w:rsid w:val="009B79C1"/>
    <w:rsid w:val="00A47A81"/>
    <w:rsid w:val="00A6760B"/>
    <w:rsid w:val="00AE1EDD"/>
    <w:rsid w:val="00B12EB7"/>
    <w:rsid w:val="00BE5C8C"/>
    <w:rsid w:val="00C52D01"/>
    <w:rsid w:val="00C76E8B"/>
    <w:rsid w:val="00CC79A1"/>
    <w:rsid w:val="00D333FB"/>
    <w:rsid w:val="00D51D18"/>
    <w:rsid w:val="00DB717A"/>
    <w:rsid w:val="00DE46AB"/>
    <w:rsid w:val="00E80326"/>
    <w:rsid w:val="00EC72C1"/>
    <w:rsid w:val="00EC7BC1"/>
    <w:rsid w:val="00EF125A"/>
    <w:rsid w:val="00F5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03"/>
  </w:style>
  <w:style w:type="paragraph" w:styleId="1">
    <w:name w:val="heading 1"/>
    <w:basedOn w:val="a"/>
    <w:next w:val="a"/>
    <w:link w:val="10"/>
    <w:uiPriority w:val="99"/>
    <w:qFormat/>
    <w:rsid w:val="001F45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1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F45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F450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4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Не вступил в силу"/>
    <w:basedOn w:val="a0"/>
    <w:uiPriority w:val="99"/>
    <w:rsid w:val="00EC7BC1"/>
    <w:rPr>
      <w:color w:val="000000"/>
      <w:shd w:val="clear" w:color="auto" w:fill="D8EDE8"/>
    </w:rPr>
  </w:style>
  <w:style w:type="character" w:styleId="a7">
    <w:name w:val="Hyperlink"/>
    <w:basedOn w:val="a0"/>
    <w:uiPriority w:val="99"/>
    <w:unhideWhenUsed/>
    <w:rsid w:val="00EC7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67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" TargetMode="External"/><Relationship Id="rId5" Type="http://schemas.openxmlformats.org/officeDocument/2006/relationships/hyperlink" Target="garantF1://1206467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2D6E-A7C5-48D7-8A5D-223F333B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cp:lastPrinted>2016-12-27T22:34:00Z</cp:lastPrinted>
  <dcterms:created xsi:type="dcterms:W3CDTF">2016-11-16T22:46:00Z</dcterms:created>
  <dcterms:modified xsi:type="dcterms:W3CDTF">2016-12-27T22:39:00Z</dcterms:modified>
</cp:coreProperties>
</file>