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E8" w:rsidRPr="00DF63E8" w:rsidRDefault="00DF63E8" w:rsidP="00DF63E8">
      <w:pPr>
        <w:spacing w:before="13" w:after="250" w:line="376" w:lineRule="atLeast"/>
        <w:ind w:left="13" w:right="13"/>
        <w:jc w:val="left"/>
        <w:outlineLvl w:val="1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proofErr w:type="spellStart"/>
      <w:r w:rsidRPr="00DF63E8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дернизация</w:t>
      </w:r>
      <w:proofErr w:type="spellEnd"/>
      <w:r w:rsidRPr="00DF63E8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высокотехнологичного </w:t>
      </w:r>
      <w:proofErr w:type="spellStart"/>
      <w:r w:rsidRPr="00DF63E8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рыбоперерабатывающего</w:t>
      </w:r>
      <w:proofErr w:type="spellEnd"/>
      <w:r w:rsidRPr="00DF63E8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комплекса мощностью 170 тонн в сутки на реке </w:t>
      </w:r>
      <w:proofErr w:type="spellStart"/>
      <w:r w:rsidRPr="00DF63E8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Хайлюля</w:t>
      </w:r>
      <w:proofErr w:type="spellEnd"/>
      <w:r w:rsidRPr="00DF63E8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, модернизация и капитальный ремонт судов, предназначенных для осуществления рыболовства и транспортировки </w:t>
      </w:r>
      <w:proofErr w:type="spellStart"/>
      <w:r w:rsidRPr="00DF63E8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рыбопродукции</w:t>
      </w:r>
      <w:proofErr w:type="spellEnd"/>
    </w:p>
    <w:tbl>
      <w:tblPr>
        <w:tblW w:w="1063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24"/>
        <w:gridCol w:w="7908"/>
      </w:tblGrid>
      <w:tr w:rsidR="00DF63E8" w:rsidRPr="00DF63E8" w:rsidTr="001B5983">
        <w:trPr>
          <w:trHeight w:val="376"/>
          <w:tblCellSpacing w:w="15" w:type="dxa"/>
        </w:trPr>
        <w:tc>
          <w:tcPr>
            <w:tcW w:w="10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93D1"/>
            <w:vAlign w:val="center"/>
            <w:hideMark/>
          </w:tcPr>
          <w:p w:rsidR="00DF63E8" w:rsidRPr="00DF63E8" w:rsidRDefault="00DF63E8" w:rsidP="00DF63E8">
            <w:pPr>
              <w:spacing w:after="0"/>
              <w:jc w:val="center"/>
              <w:rPr>
                <w:rFonts w:ascii="Tahoma" w:eastAsia="Times New Roman" w:hAnsi="Tahoma" w:cs="Tahoma"/>
                <w:smallCaps/>
                <w:color w:val="FFFFFF"/>
                <w:sz w:val="16"/>
                <w:szCs w:val="16"/>
                <w:lang w:eastAsia="ru-RU"/>
              </w:rPr>
            </w:pPr>
            <w:r w:rsidRPr="00DF63E8">
              <w:rPr>
                <w:rFonts w:ascii="Tahoma" w:eastAsia="Times New Roman" w:hAnsi="Tahoma" w:cs="Tahoma"/>
                <w:smallCaps/>
                <w:color w:val="FFFFFF"/>
                <w:sz w:val="16"/>
                <w:szCs w:val="16"/>
                <w:lang w:eastAsia="ru-RU"/>
              </w:rPr>
              <w:t>Информация о предприятии (организаторе) - инициаторе проекта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Номер инвестиционного проекта</w:t>
            </w:r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А140331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Наименование предприятия</w:t>
            </w:r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ООО «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Корякморепродукт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Организационно-правовая форма</w:t>
            </w:r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Общество с ограниченной ответственностью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Адрес</w:t>
            </w:r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688713, Карагинский район, с. Ивашка, ул. Левченко, д.3;</w:t>
            </w:r>
          </w:p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почтовый адрес: 683042, г. Петропавловск-Камчатский, </w:t>
            </w:r>
            <w:proofErr w:type="gram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Дальняя</w:t>
            </w:r>
            <w:proofErr w:type="gram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50 офис 87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Телефон</w:t>
            </w:r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+7 (415 45) 270-292; +7 (415 2) 307-259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+7 (415 45) 270-292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</w:t>
            </w:r>
            <w:proofErr w:type="gramStart"/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proofErr w:type="gramEnd"/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</w:t>
            </w:r>
            <w:proofErr w:type="gramEnd"/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очта</w:t>
            </w:r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kmpkamchatka@mail.ru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ОКВЭД</w:t>
            </w:r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05.01.12 вылов рыбы и водных биоресурсов в открытых районах Мирового океана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Основные акционеры</w:t>
            </w:r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Куликов Андрей Владимирович</w:t>
            </w:r>
          </w:p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Абакумов Владимир Николаевич</w:t>
            </w:r>
          </w:p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Ткаченко Александр Михайлович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Руководитель</w:t>
            </w:r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Генеральный директор Абакумов Владимир Николаевич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Численность </w:t>
            </w:r>
            <w:proofErr w:type="gramStart"/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работающих</w:t>
            </w:r>
            <w:proofErr w:type="gramEnd"/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Постоянный штат (без учета персонала перспективного проекта) работников предприятия составляет 212 человек. Управленческий персонал и служащие в количестве 10 человек, а также специалисты инженерно-технической службы - 29 человек, 12 человек обслуживающего и вспомогательного персонала. Численность работников, занятых непосредственно на промысле и производстве продукции составляет 161 человек (июль-август). 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Основные виды выпускаемой продукции</w:t>
            </w:r>
          </w:p>
        </w:tc>
        <w:tc>
          <w:tcPr>
            <w:tcW w:w="7863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Свежемороженая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рыбопродукция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лососевых и донно-пищевых пород, икра соленая, мороженная в ястыках, солено-мороженная лососевых пород и донно-пищевых пород, молоки лососевых пород рыб, головы лососевых рыб, мука кормовая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2679" w:type="dxa"/>
            <w:tcBorders>
              <w:top w:val="nil"/>
              <w:left w:val="nil"/>
              <w:bottom w:val="single" w:sz="4" w:space="0" w:color="CECECE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Основные потребител</w:t>
            </w:r>
            <w:proofErr w:type="gramStart"/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и(</w:t>
            </w:r>
            <w:proofErr w:type="gramEnd"/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 т. ч. доля потребителей на внешнем и внутреннем рынках)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CECECE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Компания ориентируется в основном на внешний территориальный рынок – 90% продукции (Приморский край, </w:t>
            </w:r>
            <w:proofErr w:type="gram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</w:t>
            </w:r>
            <w:proofErr w:type="gram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 Владивосток)</w:t>
            </w:r>
          </w:p>
        </w:tc>
      </w:tr>
    </w:tbl>
    <w:p w:rsidR="00DF63E8" w:rsidRPr="00DF63E8" w:rsidRDefault="00DF63E8" w:rsidP="00DF63E8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6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16"/>
        <w:gridCol w:w="8646"/>
      </w:tblGrid>
      <w:tr w:rsidR="00DF63E8" w:rsidRPr="00DF63E8" w:rsidTr="001B5983">
        <w:trPr>
          <w:trHeight w:val="376"/>
          <w:tblCellSpacing w:w="15" w:type="dxa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93D1"/>
            <w:vAlign w:val="center"/>
            <w:hideMark/>
          </w:tcPr>
          <w:p w:rsidR="00DF63E8" w:rsidRPr="00DF63E8" w:rsidRDefault="00DF63E8" w:rsidP="00DF63E8">
            <w:pPr>
              <w:spacing w:after="0"/>
              <w:jc w:val="center"/>
              <w:rPr>
                <w:rFonts w:ascii="Tahoma" w:eastAsia="Times New Roman" w:hAnsi="Tahoma" w:cs="Tahoma"/>
                <w:smallCaps/>
                <w:color w:val="FFFFFF"/>
                <w:sz w:val="16"/>
                <w:szCs w:val="16"/>
                <w:lang w:eastAsia="ru-RU"/>
              </w:rPr>
            </w:pPr>
            <w:r w:rsidRPr="00DF63E8">
              <w:rPr>
                <w:rFonts w:ascii="Tahoma" w:eastAsia="Times New Roman" w:hAnsi="Tahoma" w:cs="Tahoma"/>
                <w:smallCaps/>
                <w:color w:val="FFFFFF"/>
                <w:sz w:val="16"/>
                <w:szCs w:val="16"/>
                <w:lang w:eastAsia="ru-RU"/>
              </w:rPr>
              <w:t>Описание проекта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1971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Бизнес-идея (цель)</w:t>
            </w:r>
          </w:p>
        </w:tc>
        <w:tc>
          <w:tcPr>
            <w:tcW w:w="8601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Модернизация и расширение береговых мощностей компании, развитие технологий глубокой переработки, внедрение технологий переработки рыбных отходов, совершенствование качества и расширение ассортиментного ряда продукции, а также обновление и модернизация флота, предназначенного для осуществления рыболовства и транспортировки уловов и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рыбопродукции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1971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Вид экономической деятельности (по ОКВЭД)</w:t>
            </w:r>
          </w:p>
        </w:tc>
        <w:tc>
          <w:tcPr>
            <w:tcW w:w="8601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05.01.12 вылов рыбы и водных биоресурсов в открытых районах Мирового океана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1971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 xml:space="preserve">Ответственные исполнители по проекту (ФИО, </w:t>
            </w: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 xml:space="preserve">должность, тел., </w:t>
            </w:r>
            <w:proofErr w:type="spellStart"/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эл</w:t>
            </w:r>
            <w:proofErr w:type="spellEnd"/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. почта)</w:t>
            </w:r>
          </w:p>
        </w:tc>
        <w:tc>
          <w:tcPr>
            <w:tcW w:w="8601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Генеральный директор Абакумов Владимир Николаевич; тел. +7 (415 45) 270-292;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e-mail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: kmpkamchatka@mail.ru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1971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Год разработки проекта</w:t>
            </w:r>
          </w:p>
        </w:tc>
        <w:tc>
          <w:tcPr>
            <w:tcW w:w="8601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2010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1971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8601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Территория приложения инвестиций расположена в 60 км южнее от села Ивашка, Карагинского района, Камчатского края недалеко от устья реки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Хайлюля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. Морским путем расстояние до краевого центра </w:t>
            </w:r>
            <w:proofErr w:type="gram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</w:t>
            </w:r>
            <w:proofErr w:type="gram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 Петропавловска-Камчатского составляет порядка 700 км. Население поселка Ивашка насчитывается порядка 800 человек, основной отраслевой направленностью территории является промысел рыбы и морепродуктов.</w:t>
            </w:r>
          </w:p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Непосредственно площадка под строительство перспективного завода расположена на морском побережье недалеко от устья реки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Хайлюля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, на территории бывшей сезонной базы переработки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Хайлюлинского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рыбзавода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. Судоходство на реке возможно судами класса «река-море». Указанная акватория является одной из наиболее </w:t>
            </w:r>
            <w:proofErr w:type="gram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стабильных</w:t>
            </w:r>
            <w:proofErr w:type="gram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и продуктивных на Восточном побережье.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1971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Срок реализации проекта, этапы (с 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8601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Дата начала проекта 15 апреля 2010 года - горизонт расчета ограничен 2017 годом. Проект продолжает существование за его пределами в рамках текущей деятельности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1971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Тип проекта (модернизация, новое строительство, подготовка площадок под застройку и т.п.)</w:t>
            </w:r>
          </w:p>
        </w:tc>
        <w:tc>
          <w:tcPr>
            <w:tcW w:w="8601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Модернизация, новое строительство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1971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Отраслевая принадлежность</w:t>
            </w:r>
          </w:p>
        </w:tc>
        <w:tc>
          <w:tcPr>
            <w:tcW w:w="8601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Биоресурсный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комплекс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1971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Наличие ресурсов и инфраструктуры для реализации проекта</w:t>
            </w:r>
          </w:p>
        </w:tc>
        <w:tc>
          <w:tcPr>
            <w:tcW w:w="8601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Инфраструктура площадки оценивается как достаточная, в наличие собственные дизельные электростанции мощностью до 520 кВт, также в рамках проекта приобретаются еще три дизельных агрегата дополнительной мощностью 1200 кВт, собственные линии электропередач и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электрокоммуникации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водоснабжение осуществляется посредством скважин и прямым забором из реки, «выходы» основных видов коммуникаций находятся в пределах 200 – 300 метров, к которым также подключен существующие производственные и инфраструктурные объекты</w:t>
            </w:r>
            <w:proofErr w:type="gram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компании.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1971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Планируемая продукция (вводимые мощности)</w:t>
            </w:r>
          </w:p>
        </w:tc>
        <w:tc>
          <w:tcPr>
            <w:tcW w:w="8601" w:type="dxa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 рамках проекта будет </w:t>
            </w:r>
            <w:proofErr w:type="gram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производится</w:t>
            </w:r>
            <w:proofErr w:type="gram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продукция из лососевого и донно-пищевого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рыбосырья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количеством более 50 наименований.</w:t>
            </w:r>
          </w:p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Увеличение мощностей производства предприятия до 380 т/сутки.</w:t>
            </w:r>
          </w:p>
        </w:tc>
      </w:tr>
      <w:tr w:rsidR="00DF63E8" w:rsidRPr="00DF63E8" w:rsidTr="001B5983">
        <w:trPr>
          <w:trHeight w:val="250"/>
          <w:tblCellSpacing w:w="15" w:type="dxa"/>
        </w:trPr>
        <w:tc>
          <w:tcPr>
            <w:tcW w:w="1971" w:type="dxa"/>
            <w:tcBorders>
              <w:top w:val="nil"/>
              <w:left w:val="nil"/>
              <w:bottom w:val="single" w:sz="4" w:space="0" w:color="CECECE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Дополнительные механизмы реализации проекта (Инвестиционный фонд 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CECECE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Заключено Соглашение с Министерством рыбного хозяйства Камчатского края об участии в госпрограмме «Развитие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рыбохозяйственного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комплекса на 2014-2020 годы» для получения субсидии. </w:t>
            </w:r>
          </w:p>
        </w:tc>
      </w:tr>
    </w:tbl>
    <w:p w:rsidR="00DF63E8" w:rsidRPr="00DF63E8" w:rsidRDefault="00DF63E8" w:rsidP="00DF63E8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7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864"/>
        <w:gridCol w:w="10010"/>
      </w:tblGrid>
      <w:tr w:rsidR="00DF63E8" w:rsidRPr="00DF63E8" w:rsidTr="00DF63E8">
        <w:trPr>
          <w:trHeight w:val="376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93D1"/>
            <w:vAlign w:val="center"/>
            <w:hideMark/>
          </w:tcPr>
          <w:p w:rsidR="00DF63E8" w:rsidRPr="00DF63E8" w:rsidRDefault="00DF63E8" w:rsidP="00DF63E8">
            <w:pPr>
              <w:spacing w:after="0"/>
              <w:jc w:val="center"/>
              <w:rPr>
                <w:rFonts w:ascii="Tahoma" w:eastAsia="Times New Roman" w:hAnsi="Tahoma" w:cs="Tahoma"/>
                <w:smallCaps/>
                <w:color w:val="FFFFFF"/>
                <w:sz w:val="16"/>
                <w:szCs w:val="16"/>
                <w:lang w:eastAsia="ru-RU"/>
              </w:rPr>
            </w:pPr>
            <w:r w:rsidRPr="00DF63E8">
              <w:rPr>
                <w:rFonts w:ascii="Tahoma" w:eastAsia="Times New Roman" w:hAnsi="Tahoma" w:cs="Tahoma"/>
                <w:smallCaps/>
                <w:color w:val="FFFFFF"/>
                <w:sz w:val="16"/>
                <w:szCs w:val="16"/>
                <w:lang w:eastAsia="ru-RU"/>
              </w:rPr>
              <w:t>Текущее состояние проекта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Наличие бизнес-плана, ТЭО, финансовой модели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Наличие инвестиционного проекта «Модернизация высокотехнологичного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рыбоперерабатывающего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комплекса мощностью 170 тонн в сутки на реке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Хайлюля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, Карагинского района, Камчатского края, модернизация и капитальный ремонт судов, предназначенных для осуществления рыболовства и транспортировки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рыбопродукции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lastRenderedPageBreak/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наличие имеется проектная, разрешительная документация, необходимая  государственная и экологическая экспертиза и прочие разрешительные документы, необходимые для реализации проекта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Аренда на 49 лет у  администрации Карагинского р-на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рамках проекта заключено 6 договоров об открытии кредитной линии с лимитом выдачи (ФСКБ Приморья «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Примсоцбанк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», Камчатский филиал «АТБ» (ОАО),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Акцинерный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коммерческий Банк «Муниципальный 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Камчатспрофитбанк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 (ЗАО)) и 12 договор финансовой аренды (ИП Романов Р.С., ООО лизинговая компания «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ФинКам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», ООО «</w:t>
            </w:r>
            <w:proofErr w:type="spellStart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ЮНИТ-Лизинг</w:t>
            </w:r>
            <w:proofErr w:type="spellEnd"/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», ООО «Лизинг-Эксперт»)</w:t>
            </w:r>
          </w:p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single" w:sz="4" w:space="0" w:color="CECECE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Наличие инвестора, 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CECE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</w:tbl>
    <w:p w:rsidR="00DF63E8" w:rsidRPr="00DF63E8" w:rsidRDefault="00DF63E8" w:rsidP="00DF63E8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7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864"/>
        <w:gridCol w:w="10010"/>
      </w:tblGrid>
      <w:tr w:rsidR="00DF63E8" w:rsidRPr="00DF63E8" w:rsidTr="00DF63E8">
        <w:trPr>
          <w:trHeight w:val="376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93D1"/>
            <w:vAlign w:val="center"/>
            <w:hideMark/>
          </w:tcPr>
          <w:p w:rsidR="00DF63E8" w:rsidRPr="00DF63E8" w:rsidRDefault="00DF63E8" w:rsidP="00DF63E8">
            <w:pPr>
              <w:spacing w:after="0"/>
              <w:jc w:val="center"/>
              <w:rPr>
                <w:rFonts w:ascii="Tahoma" w:eastAsia="Times New Roman" w:hAnsi="Tahoma" w:cs="Tahoma"/>
                <w:smallCaps/>
                <w:color w:val="FFFFFF"/>
                <w:sz w:val="16"/>
                <w:szCs w:val="16"/>
                <w:lang w:eastAsia="ru-RU"/>
              </w:rPr>
            </w:pPr>
            <w:r w:rsidRPr="00DF63E8">
              <w:rPr>
                <w:rFonts w:ascii="Tahoma" w:eastAsia="Times New Roman" w:hAnsi="Tahoma" w:cs="Tahoma"/>
                <w:smallCaps/>
                <w:color w:val="FFFFFF"/>
                <w:sz w:val="16"/>
                <w:szCs w:val="16"/>
                <w:lang w:eastAsia="ru-RU"/>
              </w:rPr>
              <w:t>Финансовая оценка проекта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Общая стоимость проекта (в млн. руб.):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478,9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- в т.ч. собственные вкладываемые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168,4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single" w:sz="4" w:space="0" w:color="CECECE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- в т.ч. запрашиваемые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CECE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310,5</w:t>
            </w:r>
          </w:p>
        </w:tc>
      </w:tr>
    </w:tbl>
    <w:p w:rsidR="00DF63E8" w:rsidRPr="00DF63E8" w:rsidRDefault="00DF63E8" w:rsidP="00DF63E8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7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864"/>
        <w:gridCol w:w="10010"/>
      </w:tblGrid>
      <w:tr w:rsidR="00DF63E8" w:rsidRPr="00DF63E8" w:rsidTr="00DF63E8">
        <w:trPr>
          <w:trHeight w:val="376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93D1"/>
            <w:vAlign w:val="center"/>
            <w:hideMark/>
          </w:tcPr>
          <w:p w:rsidR="00DF63E8" w:rsidRPr="00DF63E8" w:rsidRDefault="00DF63E8" w:rsidP="00DF63E8">
            <w:pPr>
              <w:spacing w:after="0"/>
              <w:jc w:val="center"/>
              <w:rPr>
                <w:rFonts w:ascii="Tahoma" w:eastAsia="Times New Roman" w:hAnsi="Tahoma" w:cs="Tahoma"/>
                <w:smallCaps/>
                <w:color w:val="FFFFFF"/>
                <w:sz w:val="16"/>
                <w:szCs w:val="16"/>
                <w:lang w:eastAsia="ru-RU"/>
              </w:rPr>
            </w:pPr>
            <w:r w:rsidRPr="00DF63E8">
              <w:rPr>
                <w:rFonts w:ascii="Tahoma" w:eastAsia="Times New Roman" w:hAnsi="Tahoma" w:cs="Tahoma"/>
                <w:smallCaps/>
                <w:color w:val="FFFFFF"/>
                <w:sz w:val="16"/>
                <w:szCs w:val="16"/>
                <w:lang w:eastAsia="ru-RU"/>
              </w:rPr>
              <w:t>Основные показатели эффективности проекта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Чистая приведенная стоимость (NPV),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675,62 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Внутренняя норма рентабельности (IRR)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29,62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Срок окупаемости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 года 5 месяцев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Дисконтированный срок окупаемости, лет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42,42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Создание дополнительных рабочих мест до 130 человек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dotted" w:sz="4" w:space="0" w:color="9AA8B5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Формы возврата инвестиций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9AA8B5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Финансовая</w:t>
            </w:r>
          </w:p>
        </w:tc>
      </w:tr>
      <w:tr w:rsidR="00DF63E8" w:rsidRPr="00DF63E8" w:rsidTr="00DF63E8">
        <w:trPr>
          <w:trHeight w:val="250"/>
          <w:tblCellSpacing w:w="15" w:type="dxa"/>
        </w:trPr>
        <w:tc>
          <w:tcPr>
            <w:tcW w:w="3819" w:type="dxa"/>
            <w:tcBorders>
              <w:top w:val="nil"/>
              <w:left w:val="nil"/>
              <w:bottom w:val="single" w:sz="4" w:space="0" w:color="CECECE"/>
              <w:right w:val="dotted" w:sz="4" w:space="0" w:color="9AA8B5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CECE"/>
              <w:right w:val="nil"/>
            </w:tcBorders>
            <w:tcMar>
              <w:top w:w="113" w:type="dxa"/>
              <w:left w:w="163" w:type="dxa"/>
              <w:bottom w:w="113" w:type="dxa"/>
              <w:right w:w="163" w:type="dxa"/>
            </w:tcMar>
            <w:vAlign w:val="center"/>
            <w:hideMark/>
          </w:tcPr>
          <w:p w:rsidR="00DF63E8" w:rsidRPr="00DF63E8" w:rsidRDefault="00DF63E8" w:rsidP="00DF63E8">
            <w:pPr>
              <w:spacing w:after="0" w:line="225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F63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настоящее время произведена модернизация береговых мощностей, приобретено и введено в эксплуатацию рыбообрабатывающее и холодильное оборудование, линия по производству филе, линия по переработке рыбных отходов. Произведено строительство жилых помещений для проживания рабочих в период путины, площадки холодильника на 1000 тонн. Осуществлены работы по строительству, покупке, монтажу и отладке основных производственных линий.</w:t>
            </w:r>
          </w:p>
        </w:tc>
      </w:tr>
    </w:tbl>
    <w:p w:rsidR="001D78E9" w:rsidRDefault="001D78E9"/>
    <w:sectPr w:rsidR="001D78E9" w:rsidSect="001B59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3E8"/>
    <w:rsid w:val="001B5983"/>
    <w:rsid w:val="001D78E9"/>
    <w:rsid w:val="00464E80"/>
    <w:rsid w:val="00571182"/>
    <w:rsid w:val="006228A9"/>
    <w:rsid w:val="007A2D63"/>
    <w:rsid w:val="007B042C"/>
    <w:rsid w:val="0088590B"/>
    <w:rsid w:val="00AB7BC8"/>
    <w:rsid w:val="00B72043"/>
    <w:rsid w:val="00CC51C9"/>
    <w:rsid w:val="00D53770"/>
    <w:rsid w:val="00D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9"/>
  </w:style>
  <w:style w:type="paragraph" w:styleId="2">
    <w:name w:val="heading 2"/>
    <w:basedOn w:val="a"/>
    <w:link w:val="20"/>
    <w:uiPriority w:val="9"/>
    <w:qFormat/>
    <w:rsid w:val="00DF63E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6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1116</Words>
  <Characters>6364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2015-08-05T03:11:00Z</dcterms:created>
  <dcterms:modified xsi:type="dcterms:W3CDTF">2015-08-05T03:13:00Z</dcterms:modified>
</cp:coreProperties>
</file>