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rsidR="003F13FA" w:rsidRPr="00FD42C0" w:rsidRDefault="003F13FA" w:rsidP="00935E03">
      <w:pPr>
        <w:spacing w:after="0" w:line="360" w:lineRule="auto"/>
        <w:jc w:val="center"/>
        <w:rPr>
          <w:rFonts w:ascii="Times New Roman" w:hAnsi="Times New Roman" w:cs="Times New Roman"/>
          <w:sz w:val="28"/>
          <w:szCs w:val="28"/>
        </w:rPr>
      </w:pPr>
      <w:proofErr w:type="gramStart"/>
      <w:r w:rsidRPr="00FD42C0">
        <w:rPr>
          <w:rFonts w:ascii="Times New Roman" w:hAnsi="Times New Roman" w:cs="Times New Roman"/>
          <w:sz w:val="28"/>
          <w:szCs w:val="28"/>
        </w:rPr>
        <w:t>АДМИНИСТРАЦИИ  КАРАГИНСКОГО</w:t>
      </w:r>
      <w:proofErr w:type="gramEnd"/>
      <w:r w:rsidRPr="00FD42C0">
        <w:rPr>
          <w:rFonts w:ascii="Times New Roman" w:hAnsi="Times New Roman" w:cs="Times New Roman"/>
          <w:sz w:val="28"/>
          <w:szCs w:val="28"/>
        </w:rPr>
        <w:t xml:space="preserve"> МУНИЦИПАЛЬНОГО РАЙОНА</w:t>
      </w:r>
    </w:p>
    <w:p w:rsidR="003F13FA" w:rsidRPr="00FD42C0" w:rsidRDefault="003F13FA" w:rsidP="00935E03">
      <w:pPr>
        <w:spacing w:after="0" w:line="240" w:lineRule="auto"/>
        <w:jc w:val="center"/>
        <w:rPr>
          <w:rFonts w:ascii="Times New Roman" w:hAnsi="Times New Roman" w:cs="Times New Roman"/>
          <w:b/>
          <w:bCs/>
          <w:sz w:val="28"/>
          <w:szCs w:val="28"/>
        </w:rPr>
      </w:pPr>
      <w:r w:rsidRPr="00FD42C0">
        <w:rPr>
          <w:rFonts w:ascii="Times New Roman" w:hAnsi="Times New Roman" w:cs="Times New Roman"/>
          <w:b/>
          <w:bCs/>
          <w:sz w:val="28"/>
          <w:szCs w:val="28"/>
        </w:rPr>
        <w:t>П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FD42C0" w:rsidRDefault="00865A24" w:rsidP="00935E03">
      <w:pPr>
        <w:spacing w:after="0" w:line="240" w:lineRule="auto"/>
        <w:jc w:val="center"/>
        <w:rPr>
          <w:rFonts w:ascii="Times New Roman" w:hAnsi="Times New Roman" w:cs="Times New Roman"/>
          <w:sz w:val="24"/>
          <w:szCs w:val="24"/>
        </w:rPr>
      </w:pPr>
      <w:proofErr w:type="gramStart"/>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6540B4">
        <w:rPr>
          <w:rFonts w:ascii="Times New Roman" w:hAnsi="Times New Roman" w:cs="Times New Roman"/>
          <w:sz w:val="24"/>
          <w:szCs w:val="24"/>
        </w:rPr>
        <w:t>17.04</w:t>
      </w:r>
      <w:r w:rsidR="00DD73E0">
        <w:rPr>
          <w:rFonts w:ascii="Times New Roman" w:hAnsi="Times New Roman" w:cs="Times New Roman"/>
          <w:sz w:val="24"/>
          <w:szCs w:val="24"/>
        </w:rPr>
        <w:t>.20</w:t>
      </w:r>
      <w:r w:rsidR="006540B4">
        <w:rPr>
          <w:rFonts w:ascii="Times New Roman" w:hAnsi="Times New Roman" w:cs="Times New Roman"/>
          <w:sz w:val="24"/>
          <w:szCs w:val="24"/>
        </w:rPr>
        <w:t>20</w:t>
      </w:r>
      <w:proofErr w:type="gramEnd"/>
      <w:r w:rsidR="003F13FA" w:rsidRPr="00FD42C0">
        <w:rPr>
          <w:rFonts w:ascii="Times New Roman" w:hAnsi="Times New Roman" w:cs="Times New Roman"/>
          <w:sz w:val="24"/>
          <w:szCs w:val="24"/>
        </w:rPr>
        <w:t xml:space="preserve"> г.                              </w:t>
      </w:r>
      <w:proofErr w:type="gramStart"/>
      <w:r w:rsidR="003F13FA" w:rsidRPr="00FD42C0">
        <w:rPr>
          <w:rFonts w:ascii="Times New Roman" w:hAnsi="Times New Roman" w:cs="Times New Roman"/>
          <w:sz w:val="24"/>
          <w:szCs w:val="24"/>
        </w:rPr>
        <w:t xml:space="preserve">№  </w:t>
      </w:r>
      <w:r w:rsidR="006540B4">
        <w:rPr>
          <w:rFonts w:ascii="Times New Roman" w:hAnsi="Times New Roman" w:cs="Times New Roman"/>
          <w:sz w:val="24"/>
          <w:szCs w:val="24"/>
        </w:rPr>
        <w:t>11</w:t>
      </w:r>
      <w:proofErr w:type="gramEnd"/>
    </w:p>
    <w:p w:rsidR="003F13FA" w:rsidRDefault="003F13FA" w:rsidP="00935E03">
      <w:pPr>
        <w:spacing w:after="0" w:line="240" w:lineRule="auto"/>
        <w:jc w:val="center"/>
        <w:rPr>
          <w:rFonts w:ascii="Times New Roman" w:hAnsi="Times New Roman" w:cs="Times New Roman"/>
          <w:sz w:val="24"/>
          <w:szCs w:val="24"/>
        </w:rPr>
      </w:pPr>
    </w:p>
    <w:p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87"/>
      </w:tblGrid>
      <w:tr w:rsidR="00754869" w:rsidRPr="00754869" w:rsidTr="008932D2">
        <w:tc>
          <w:tcPr>
            <w:tcW w:w="5387" w:type="dxa"/>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sz w:val="24"/>
                <w:szCs w:val="24"/>
              </w:rPr>
              <w:t>Об утверждении Порядка 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tc>
      </w:tr>
    </w:tbl>
    <w:p w:rsidR="00754869" w:rsidRPr="00754869" w:rsidRDefault="00754869" w:rsidP="00754869">
      <w:pPr>
        <w:spacing w:after="0" w:line="240" w:lineRule="auto"/>
        <w:jc w:val="both"/>
        <w:rPr>
          <w:rFonts w:ascii="Times New Roman" w:hAnsi="Times New Roman" w:cs="Times New Roman"/>
          <w:sz w:val="28"/>
          <w:szCs w:val="28"/>
        </w:rPr>
      </w:pPr>
    </w:p>
    <w:p w:rsidR="00754869" w:rsidRPr="00754869" w:rsidRDefault="00754869" w:rsidP="00754869">
      <w:pPr>
        <w:autoSpaceDE w:val="0"/>
        <w:autoSpaceDN w:val="0"/>
        <w:adjustRightInd w:val="0"/>
        <w:spacing w:after="0" w:line="240" w:lineRule="auto"/>
        <w:ind w:right="-83" w:firstLine="709"/>
        <w:jc w:val="both"/>
        <w:rPr>
          <w:rFonts w:ascii="Times New Roman" w:hAnsi="Times New Roman" w:cs="Times New Roman"/>
          <w:sz w:val="24"/>
          <w:szCs w:val="24"/>
        </w:rPr>
      </w:pPr>
      <w:r w:rsidRPr="00754869">
        <w:rPr>
          <w:rFonts w:ascii="Times New Roman" w:hAnsi="Times New Roman" w:cs="Times New Roman"/>
          <w:sz w:val="24"/>
          <w:szCs w:val="24"/>
        </w:rPr>
        <w:t>В соответствии с пунктом 6 статьи 160.2-1 Бюджетного кодекса Российской Федерации в целях проведения Финансовым управлением администрации Карагинского муниципального района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p w:rsidR="004913A9" w:rsidRDefault="004913A9" w:rsidP="00935E03">
      <w:pPr>
        <w:spacing w:after="0" w:line="240" w:lineRule="auto"/>
        <w:rPr>
          <w:rFonts w:ascii="Times New Roman" w:hAnsi="Times New Roman" w:cs="Times New Roman"/>
          <w:sz w:val="24"/>
          <w:szCs w:val="24"/>
        </w:rPr>
      </w:pPr>
    </w:p>
    <w:p w:rsidR="003F13FA" w:rsidRPr="00FD42C0" w:rsidRDefault="003F13FA" w:rsidP="00935E03">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ПРИКАЗЫВАЮ:</w:t>
      </w:r>
    </w:p>
    <w:p w:rsidR="003F13FA" w:rsidRPr="00FD42C0" w:rsidRDefault="003F13FA" w:rsidP="00935E03">
      <w:pPr>
        <w:spacing w:after="0" w:line="240" w:lineRule="auto"/>
        <w:rPr>
          <w:rFonts w:ascii="Times New Roman" w:hAnsi="Times New Roman" w:cs="Times New Roman"/>
          <w:sz w:val="24"/>
          <w:szCs w:val="24"/>
        </w:rPr>
      </w:pPr>
    </w:p>
    <w:p w:rsidR="00754869" w:rsidRPr="00754869" w:rsidRDefault="00754869" w:rsidP="00754869">
      <w:pPr>
        <w:widowControl w:val="0"/>
        <w:tabs>
          <w:tab w:val="left" w:pos="851"/>
        </w:tabs>
        <w:autoSpaceDE w:val="0"/>
        <w:autoSpaceDN w:val="0"/>
        <w:adjustRightInd w:val="0"/>
        <w:spacing w:after="0" w:line="240" w:lineRule="auto"/>
        <w:ind w:right="-1"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754869">
        <w:rPr>
          <w:rFonts w:ascii="Times New Roman" w:eastAsia="Calibri" w:hAnsi="Times New Roman" w:cs="Times New Roman"/>
          <w:sz w:val="24"/>
          <w:szCs w:val="24"/>
          <w:lang w:eastAsia="en-US"/>
        </w:rPr>
        <w:t>Утвердить прилагаемый Порядок 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согласно приложению.</w:t>
      </w:r>
    </w:p>
    <w:p w:rsidR="00754869" w:rsidRPr="00754869" w:rsidRDefault="00754869" w:rsidP="007548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приказ Финансового управления администрации Карагинского муниципального района от 08.08.2018 № 27 «</w:t>
      </w:r>
      <w:r w:rsidRPr="004F7AAE">
        <w:rPr>
          <w:rFonts w:ascii="Times New Roman" w:eastAsia="Calibri" w:hAnsi="Times New Roman"/>
          <w:sz w:val="24"/>
          <w:szCs w:val="24"/>
        </w:rPr>
        <w:t>Об утверждении Порядка проведения Финансовым управлением администрации Карагинского муниципального района анализа осуществления главными администраторами средств бюджета внутреннего финансового контроля и</w:t>
      </w:r>
      <w:r>
        <w:rPr>
          <w:rFonts w:ascii="Times New Roman" w:eastAsia="Calibri" w:hAnsi="Times New Roman"/>
          <w:sz w:val="24"/>
          <w:szCs w:val="24"/>
        </w:rPr>
        <w:t xml:space="preserve"> внутреннего финансового аудита».</w:t>
      </w:r>
    </w:p>
    <w:p w:rsidR="00754869" w:rsidRPr="00754869" w:rsidRDefault="00754869" w:rsidP="00754869">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54869">
        <w:rPr>
          <w:rFonts w:ascii="Times New Roman" w:hAnsi="Times New Roman" w:cs="Times New Roman"/>
          <w:sz w:val="24"/>
          <w:szCs w:val="24"/>
        </w:rPr>
        <w:t>. Настоящее постановление вступает в силу после дня его официального опубликования и распространяется на правоотношения, возникающие с 1 января 2020 года и применяется, начиная с проведения мониторинга качества финансового менеджмента за 2019 год.</w:t>
      </w:r>
    </w:p>
    <w:p w:rsidR="009C709F" w:rsidRDefault="009C709F" w:rsidP="00935E03">
      <w:pPr>
        <w:spacing w:after="0" w:line="240" w:lineRule="auto"/>
        <w:rPr>
          <w:rFonts w:ascii="Times New Roman" w:hAnsi="Times New Roman" w:cs="Times New Roman"/>
          <w:b/>
          <w:bCs/>
          <w:sz w:val="24"/>
          <w:szCs w:val="24"/>
        </w:rPr>
      </w:pPr>
    </w:p>
    <w:p w:rsidR="004913A9" w:rsidRDefault="004913A9" w:rsidP="00935E03">
      <w:pPr>
        <w:spacing w:after="0" w:line="240" w:lineRule="auto"/>
        <w:rPr>
          <w:rFonts w:ascii="Times New Roman" w:hAnsi="Times New Roman" w:cs="Times New Roman"/>
          <w:b/>
          <w:bCs/>
          <w:sz w:val="24"/>
          <w:szCs w:val="24"/>
        </w:rPr>
      </w:pPr>
    </w:p>
    <w:p w:rsidR="004913A9" w:rsidRDefault="004913A9" w:rsidP="00935E03">
      <w:pPr>
        <w:spacing w:after="0" w:line="240" w:lineRule="auto"/>
        <w:rPr>
          <w:rFonts w:ascii="Times New Roman" w:hAnsi="Times New Roman" w:cs="Times New Roman"/>
          <w:b/>
          <w:bCs/>
          <w:sz w:val="24"/>
          <w:szCs w:val="24"/>
        </w:rPr>
      </w:pPr>
    </w:p>
    <w:p w:rsidR="004913A9" w:rsidRDefault="004913A9" w:rsidP="00935E03">
      <w:pPr>
        <w:spacing w:after="0" w:line="240" w:lineRule="auto"/>
        <w:rPr>
          <w:rFonts w:ascii="Times New Roman" w:hAnsi="Times New Roman" w:cs="Times New Roman"/>
          <w:b/>
          <w:bCs/>
          <w:sz w:val="24"/>
          <w:szCs w:val="24"/>
        </w:rPr>
      </w:pPr>
    </w:p>
    <w:p w:rsidR="004913A9" w:rsidRDefault="004913A9" w:rsidP="00935E03">
      <w:pPr>
        <w:spacing w:after="0" w:line="240" w:lineRule="auto"/>
        <w:rPr>
          <w:rFonts w:ascii="Times New Roman" w:hAnsi="Times New Roman" w:cs="Times New Roman"/>
          <w:b/>
          <w:bCs/>
          <w:sz w:val="24"/>
          <w:szCs w:val="24"/>
        </w:rPr>
      </w:pPr>
    </w:p>
    <w:p w:rsidR="004913A9" w:rsidRPr="00FD42C0" w:rsidRDefault="004913A9" w:rsidP="00935E03">
      <w:pPr>
        <w:spacing w:after="0" w:line="240" w:lineRule="auto"/>
        <w:rPr>
          <w:rFonts w:ascii="Times New Roman" w:hAnsi="Times New Roman" w:cs="Times New Roman"/>
          <w:b/>
          <w:bCs/>
          <w:sz w:val="24"/>
          <w:szCs w:val="24"/>
        </w:rPr>
      </w:pP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Руководитель финансового управления </w:t>
      </w: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администрации Карагинского </w:t>
      </w:r>
    </w:p>
    <w:p w:rsidR="00B1465A"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муниципального района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p w:rsidR="004913A9" w:rsidRDefault="004913A9" w:rsidP="000B2510">
      <w:pPr>
        <w:spacing w:after="0" w:line="240" w:lineRule="auto"/>
        <w:rPr>
          <w:rFonts w:ascii="Times New Roman" w:hAnsi="Times New Roman" w:cs="Times New Roman"/>
          <w:sz w:val="24"/>
          <w:szCs w:val="24"/>
        </w:rPr>
      </w:pPr>
    </w:p>
    <w:p w:rsidR="004913A9" w:rsidRDefault="004913A9" w:rsidP="000B2510">
      <w:pPr>
        <w:spacing w:after="0" w:line="240" w:lineRule="auto"/>
        <w:rPr>
          <w:rFonts w:ascii="Times New Roman" w:hAnsi="Times New Roman" w:cs="Times New Roman"/>
          <w:sz w:val="24"/>
          <w:szCs w:val="24"/>
        </w:rPr>
      </w:pPr>
    </w:p>
    <w:p w:rsidR="004913A9" w:rsidRDefault="004913A9" w:rsidP="000B2510">
      <w:pPr>
        <w:spacing w:after="0" w:line="240" w:lineRule="auto"/>
        <w:rPr>
          <w:rFonts w:ascii="Times New Roman" w:hAnsi="Times New Roman" w:cs="Times New Roman"/>
          <w:sz w:val="24"/>
          <w:szCs w:val="24"/>
        </w:rPr>
      </w:pPr>
    </w:p>
    <w:p w:rsidR="00754869" w:rsidRDefault="00754869" w:rsidP="000B2510">
      <w:pPr>
        <w:spacing w:after="0" w:line="240" w:lineRule="auto"/>
        <w:rPr>
          <w:rFonts w:ascii="Times New Roman" w:hAnsi="Times New Roman" w:cs="Times New Roman"/>
          <w:sz w:val="24"/>
          <w:szCs w:val="24"/>
        </w:rPr>
      </w:pPr>
    </w:p>
    <w:p w:rsidR="00754869" w:rsidRPr="00754869" w:rsidRDefault="00754869" w:rsidP="00754869">
      <w:pPr>
        <w:suppressAutoHyphens/>
        <w:spacing w:after="0" w:line="240" w:lineRule="auto"/>
        <w:jc w:val="right"/>
        <w:rPr>
          <w:rFonts w:ascii="Times New Roman" w:hAnsi="Times New Roman" w:cs="Times New Roman"/>
          <w:sz w:val="20"/>
          <w:szCs w:val="20"/>
        </w:rPr>
      </w:pPr>
      <w:r w:rsidRPr="00754869">
        <w:rPr>
          <w:rFonts w:ascii="Times New Roman" w:hAnsi="Times New Roman" w:cs="Times New Roman"/>
          <w:sz w:val="24"/>
          <w:szCs w:val="24"/>
        </w:rPr>
        <w:lastRenderedPageBreak/>
        <w:t xml:space="preserve">Приложение </w:t>
      </w:r>
    </w:p>
    <w:p w:rsidR="00754869" w:rsidRDefault="00754869" w:rsidP="00754869">
      <w:pPr>
        <w:autoSpaceDE w:val="0"/>
        <w:autoSpaceDN w:val="0"/>
        <w:adjustRightInd w:val="0"/>
        <w:spacing w:after="0" w:line="240" w:lineRule="auto"/>
        <w:ind w:firstLine="720"/>
        <w:jc w:val="right"/>
        <w:rPr>
          <w:rFonts w:ascii="Times New Roman" w:hAnsi="Times New Roman" w:cs="Times New Roman"/>
          <w:bCs/>
          <w:sz w:val="24"/>
          <w:szCs w:val="24"/>
        </w:rPr>
      </w:pPr>
      <w:r w:rsidRPr="00754869">
        <w:rPr>
          <w:rFonts w:ascii="Times New Roman" w:hAnsi="Times New Roman" w:cs="Times New Roman"/>
          <w:bCs/>
          <w:sz w:val="24"/>
          <w:szCs w:val="24"/>
        </w:rPr>
        <w:t xml:space="preserve">к </w:t>
      </w:r>
      <w:r>
        <w:rPr>
          <w:rFonts w:ascii="Times New Roman" w:hAnsi="Times New Roman" w:cs="Times New Roman"/>
          <w:bCs/>
          <w:sz w:val="24"/>
          <w:szCs w:val="24"/>
        </w:rPr>
        <w:t xml:space="preserve">приказу Финансового управления </w:t>
      </w:r>
    </w:p>
    <w:p w:rsidR="00754869" w:rsidRDefault="00754869" w:rsidP="00754869">
      <w:pPr>
        <w:autoSpaceDE w:val="0"/>
        <w:autoSpaceDN w:val="0"/>
        <w:adjustRightInd w:val="0"/>
        <w:spacing w:after="0" w:line="240" w:lineRule="auto"/>
        <w:ind w:firstLine="720"/>
        <w:jc w:val="right"/>
        <w:rPr>
          <w:rFonts w:ascii="Times New Roman" w:hAnsi="Times New Roman" w:cs="Times New Roman"/>
          <w:bCs/>
          <w:sz w:val="24"/>
          <w:szCs w:val="24"/>
        </w:rPr>
      </w:pPr>
      <w:r>
        <w:rPr>
          <w:rFonts w:ascii="Times New Roman" w:hAnsi="Times New Roman" w:cs="Times New Roman"/>
          <w:bCs/>
          <w:sz w:val="24"/>
          <w:szCs w:val="24"/>
        </w:rPr>
        <w:t>администрации</w:t>
      </w:r>
      <w:r w:rsidRPr="00754869">
        <w:rPr>
          <w:rFonts w:ascii="Times New Roman" w:hAnsi="Times New Roman" w:cs="Times New Roman"/>
          <w:bCs/>
          <w:sz w:val="24"/>
          <w:szCs w:val="24"/>
        </w:rPr>
        <w:t xml:space="preserve"> Карагинского </w:t>
      </w:r>
    </w:p>
    <w:p w:rsidR="00754869" w:rsidRPr="00754869" w:rsidRDefault="00754869" w:rsidP="00754869">
      <w:pPr>
        <w:autoSpaceDE w:val="0"/>
        <w:autoSpaceDN w:val="0"/>
        <w:adjustRightInd w:val="0"/>
        <w:spacing w:after="0" w:line="240" w:lineRule="auto"/>
        <w:ind w:firstLine="720"/>
        <w:jc w:val="right"/>
        <w:rPr>
          <w:rFonts w:ascii="Times New Roman" w:hAnsi="Times New Roman" w:cs="Times New Roman"/>
          <w:bCs/>
          <w:sz w:val="24"/>
          <w:szCs w:val="24"/>
        </w:rPr>
      </w:pPr>
      <w:r w:rsidRPr="00754869">
        <w:rPr>
          <w:rFonts w:ascii="Times New Roman" w:hAnsi="Times New Roman" w:cs="Times New Roman"/>
          <w:bCs/>
          <w:sz w:val="24"/>
          <w:szCs w:val="24"/>
        </w:rPr>
        <w:t>муниципального района</w:t>
      </w:r>
    </w:p>
    <w:p w:rsidR="00754869" w:rsidRPr="00754869" w:rsidRDefault="00754869" w:rsidP="00754869">
      <w:pPr>
        <w:autoSpaceDE w:val="0"/>
        <w:autoSpaceDN w:val="0"/>
        <w:adjustRightInd w:val="0"/>
        <w:spacing w:after="0" w:line="240" w:lineRule="auto"/>
        <w:ind w:firstLine="720"/>
        <w:jc w:val="right"/>
        <w:rPr>
          <w:rFonts w:ascii="Times New Roman" w:hAnsi="Times New Roman" w:cs="Times New Roman"/>
          <w:sz w:val="24"/>
          <w:szCs w:val="24"/>
        </w:rPr>
      </w:pPr>
      <w:r w:rsidRPr="00754869">
        <w:rPr>
          <w:rFonts w:ascii="Times New Roman" w:hAnsi="Times New Roman" w:cs="Times New Roman"/>
          <w:bCs/>
          <w:sz w:val="24"/>
          <w:szCs w:val="24"/>
        </w:rPr>
        <w:t xml:space="preserve">от </w:t>
      </w:r>
      <w:r w:rsidR="006540B4" w:rsidRPr="006540B4">
        <w:rPr>
          <w:rFonts w:ascii="Times New Roman" w:hAnsi="Times New Roman" w:cs="Times New Roman"/>
          <w:bCs/>
          <w:sz w:val="24"/>
          <w:szCs w:val="24"/>
        </w:rPr>
        <w:t>17 апреля</w:t>
      </w:r>
      <w:r w:rsidRPr="00754869">
        <w:rPr>
          <w:rFonts w:ascii="Times New Roman" w:hAnsi="Times New Roman" w:cs="Times New Roman"/>
          <w:bCs/>
          <w:sz w:val="24"/>
          <w:szCs w:val="24"/>
        </w:rPr>
        <w:t xml:space="preserve"> 2020 г. N </w:t>
      </w:r>
      <w:r w:rsidR="006540B4" w:rsidRPr="006540B4">
        <w:rPr>
          <w:rFonts w:ascii="Times New Roman" w:hAnsi="Times New Roman" w:cs="Times New Roman"/>
          <w:bCs/>
          <w:sz w:val="24"/>
          <w:szCs w:val="24"/>
        </w:rPr>
        <w:t>11</w:t>
      </w:r>
    </w:p>
    <w:p w:rsidR="00754869" w:rsidRPr="00754869" w:rsidRDefault="00754869" w:rsidP="00754869">
      <w:pPr>
        <w:spacing w:after="0" w:line="240" w:lineRule="exact"/>
        <w:jc w:val="center"/>
        <w:rPr>
          <w:rFonts w:ascii="Times New Roman" w:hAnsi="Times New Roman" w:cs="Times New Roman"/>
          <w:b/>
          <w:caps/>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sz w:val="24"/>
          <w:szCs w:val="24"/>
        </w:rPr>
        <w:t>Порядок</w:t>
      </w: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sz w:val="24"/>
          <w:szCs w:val="24"/>
        </w:rPr>
        <w:t>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sz w:val="24"/>
          <w:szCs w:val="24"/>
        </w:rPr>
        <w:t>1. Общие положения.</w:t>
      </w: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1.1. Настоящий Порядок определяет правила проведения Финансовым управлением администрации Карагинского муниципального района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(далее – главный администратор средств бюджета), расчета показателей качества финансового менеджмента, используемых для формирования отчета Финансовым управлением администрации Карагинского муниципального района о результатах мониторинга качества финансового менеджмента.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Настоящий Порядок распространяется на главный администратор средств бюджета: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 Карагинского муниципального района;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2) муниципального образования сельского поселения «поселок Оссора».</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1.2.  Мониторинг качества финансового менеджмента, осуществляемого главными администраторами средств бюджета (далее – мониторинг качества финансового менеджмента), проводится путем  анализа и оценки результатов выполнения процедур составления и исполнения бюджета,  включая процедуры финансового обеспечения закупок товаров, работ и услуг для обеспечения муниципальных нужд, ведения бюджетного учета и составления бюджетной отчетности, управления активами, осуществления внутреннего финансового контроля и внутреннего финансового аудита  в целях исполнения бюджетных полномочий, установленных бюджетным законодательством Российской Федерации.</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1.3. Мониторинг качества финансового менеджмента проводится Финансовым управлением администрации Карагинского муниципального района (далее – Финансовое управление) на основании данных бюджетной отчетности, представляемой главными администраторами средств бюджета, а также необходимой для расчета показателей качества финансового менеджмента  информации, предоставляемой в Финансовое управление администрации Карагинского муниципального района главными администраторами средств бюджета в соответствии с настоящим Порядком, а также общедоступных (размещенных на официальных сайтах в информационно-телекоммуникационной сети «Интернет») сведений.</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869">
        <w:rPr>
          <w:rFonts w:ascii="Times New Roman" w:hAnsi="Times New Roman" w:cs="Times New Roman"/>
          <w:sz w:val="24"/>
          <w:szCs w:val="24"/>
        </w:rPr>
        <w:t>1.4. Мониторинг качества финансового менеджмента состоит из годового мониторинга качества финансового менеджмента и проводится по состоянию на 1 января года, следующего за отчетным.</w:t>
      </w: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7924">
        <w:rPr>
          <w:rFonts w:ascii="Times New Roman" w:hAnsi="Times New Roman" w:cs="Times New Roman"/>
          <w:sz w:val="24"/>
          <w:szCs w:val="24"/>
        </w:rPr>
        <w:t>1.5. Годовой мониторинг качества финансового менеджмента за отчетный финансовый год проводится на основании источников информации в срок до 1 июня года, следующего за отчетным.</w:t>
      </w: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037924" w:rsidRDefault="00754869" w:rsidP="007548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7924">
        <w:rPr>
          <w:rFonts w:ascii="Times New Roman" w:hAnsi="Times New Roman" w:cs="Times New Roman"/>
          <w:sz w:val="24"/>
          <w:szCs w:val="24"/>
        </w:rPr>
        <w:lastRenderedPageBreak/>
        <w:t>2. Расчет показателей качества финансового менеджмента и формирования отчета о результатах мониторинга качества финансового менеджмента</w:t>
      </w: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7924">
        <w:rPr>
          <w:rFonts w:ascii="Times New Roman" w:hAnsi="Times New Roman" w:cs="Times New Roman"/>
          <w:sz w:val="24"/>
          <w:szCs w:val="24"/>
        </w:rPr>
        <w:t>2.1. В целях расчета показателей качества финансового менеджмента, главные администраторы средств бюджета представляют в Финансовое управление на бумажном и электронном носителях и (или) в электронном виде до 01 мая текущего финансового года сведения согласно приложению 1 к настоящему Порядку.</w:t>
      </w: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7924">
        <w:rPr>
          <w:rFonts w:ascii="Times New Roman" w:hAnsi="Times New Roman" w:cs="Times New Roman"/>
          <w:sz w:val="24"/>
          <w:szCs w:val="24"/>
        </w:rPr>
        <w:t>2.2. Финансовое управление с использованием данных из источников информации рассчитывает по каждому главному администратору средств бюджета итоговую оценку качества финансового менеджмента, целевые значения показателей качества финансового менеджмента, оценку качества управления расходами бюджета, оценку качества управления доходами бюджета,  оценку качества ведения учета и составления бюджетной отчетности, оценку качества организации и осуществления внутреннего финансового контроля и внутреннего финансового аудита, оценку качества управления активами в соответствии с приложением 2 к настоящему Порядку.</w:t>
      </w: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7924">
        <w:rPr>
          <w:rFonts w:ascii="Times New Roman" w:hAnsi="Times New Roman" w:cs="Times New Roman"/>
          <w:sz w:val="24"/>
          <w:szCs w:val="24"/>
        </w:rPr>
        <w:t>2.3. На основании данных расчета показателей качества финансового менеджмента Финансовое управление рассчитывает итоговую оценку качества финансового менеджмента по каждому главному администратору средств бюджета.</w:t>
      </w: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7924">
        <w:rPr>
          <w:rFonts w:ascii="Times New Roman" w:hAnsi="Times New Roman" w:cs="Times New Roman"/>
          <w:sz w:val="24"/>
          <w:szCs w:val="24"/>
        </w:rPr>
        <w:t>В случае если для главного администратора средств бюджета показатель (группа показателей) качества финансового менеджмента не рассчитывается, вес указанного показателя (группы показателей) качества финансового менеджмента пропорционально распределяется по остальным показателям (группам показателей) качества финансового менеджмента.</w:t>
      </w:r>
    </w:p>
    <w:p w:rsidR="00754869" w:rsidRPr="00037924"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7924">
        <w:rPr>
          <w:rFonts w:ascii="Times New Roman" w:hAnsi="Times New Roman" w:cs="Times New Roman"/>
          <w:sz w:val="24"/>
          <w:szCs w:val="24"/>
        </w:rPr>
        <w:t>2.4. Отчет о результатах годового мониторинга качества финансового менеджмента формируется Финансовым управлением в разрезе главных администраторов средств бюджетов Карагинского муниципального района и муниципального образования сельского поселения «поселок О</w:t>
      </w:r>
      <w:bookmarkStart w:id="0" w:name="_GoBack"/>
      <w:bookmarkEnd w:id="0"/>
      <w:r w:rsidRPr="00037924">
        <w:rPr>
          <w:rFonts w:ascii="Times New Roman" w:hAnsi="Times New Roman" w:cs="Times New Roman"/>
          <w:sz w:val="24"/>
          <w:szCs w:val="24"/>
        </w:rPr>
        <w:t>ссора» с указанием значений итоговых оценок качества финансового менеджмента по главным администраторам средств бюджета и всех показателей, используемых для их расчета.</w:t>
      </w:r>
    </w:p>
    <w:p w:rsidR="00794806" w:rsidRDefault="00754869" w:rsidP="0079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7924">
        <w:rPr>
          <w:rFonts w:ascii="Times New Roman" w:hAnsi="Times New Roman" w:cs="Times New Roman"/>
          <w:sz w:val="24"/>
          <w:szCs w:val="24"/>
        </w:rPr>
        <w:t>2.5. Результаты мониторинга качества финансового менеджмента размещаются на официальном сайте Администрации Карагинского муниципального района в информационно-телекоммуникационной сети «Интернет»</w:t>
      </w:r>
      <w:r w:rsidR="00794806" w:rsidRPr="00037924">
        <w:rPr>
          <w:rFonts w:ascii="Times New Roman" w:hAnsi="Times New Roman" w:cs="Times New Roman"/>
          <w:sz w:val="24"/>
          <w:szCs w:val="24"/>
        </w:rPr>
        <w:t xml:space="preserve"> до 15 июня года, следующего за отчетным.</w:t>
      </w: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5211" w:type="dxa"/>
        <w:tblLook w:val="04A0" w:firstRow="1" w:lastRow="0" w:firstColumn="1" w:lastColumn="0" w:noHBand="0" w:noVBand="1"/>
      </w:tblPr>
      <w:tblGrid>
        <w:gridCol w:w="4448"/>
      </w:tblGrid>
      <w:tr w:rsidR="00565CE7" w:rsidRPr="00754869" w:rsidTr="00565CE7">
        <w:tc>
          <w:tcPr>
            <w:tcW w:w="4450" w:type="dxa"/>
            <w:shd w:val="clear" w:color="auto" w:fill="auto"/>
          </w:tcPr>
          <w:p w:rsidR="00754869" w:rsidRPr="00754869" w:rsidRDefault="00754869" w:rsidP="00565CE7">
            <w:pPr>
              <w:widowControl w:val="0"/>
              <w:autoSpaceDE w:val="0"/>
              <w:autoSpaceDN w:val="0"/>
              <w:adjustRightInd w:val="0"/>
              <w:spacing w:after="0" w:line="240" w:lineRule="auto"/>
              <w:ind w:firstLine="709"/>
              <w:jc w:val="right"/>
              <w:rPr>
                <w:rFonts w:ascii="Times New Roman" w:eastAsia="Calibri" w:hAnsi="Times New Roman" w:cs="Times New Roman"/>
                <w:lang w:eastAsia="en-US"/>
              </w:rPr>
            </w:pPr>
            <w:r w:rsidRPr="00754869">
              <w:rPr>
                <w:rFonts w:ascii="Times New Roman" w:eastAsia="Calibri" w:hAnsi="Times New Roman" w:cs="Times New Roman"/>
                <w:lang w:eastAsia="en-US"/>
              </w:rPr>
              <w:t>Приложение 1</w:t>
            </w:r>
          </w:p>
          <w:p w:rsidR="00754869" w:rsidRPr="00754869" w:rsidRDefault="00754869" w:rsidP="00565CE7">
            <w:pPr>
              <w:widowControl w:val="0"/>
              <w:autoSpaceDE w:val="0"/>
              <w:autoSpaceDN w:val="0"/>
              <w:adjustRightInd w:val="0"/>
              <w:spacing w:after="0" w:line="240" w:lineRule="auto"/>
              <w:jc w:val="both"/>
              <w:rPr>
                <w:rFonts w:ascii="Times New Roman" w:eastAsia="Calibri" w:hAnsi="Times New Roman" w:cs="Times New Roman"/>
                <w:lang w:eastAsia="en-US"/>
              </w:rPr>
            </w:pPr>
            <w:r w:rsidRPr="00754869">
              <w:rPr>
                <w:rFonts w:ascii="Times New Roman" w:eastAsia="Calibri" w:hAnsi="Times New Roman" w:cs="Times New Roman"/>
                <w:lang w:eastAsia="en-US"/>
              </w:rPr>
              <w:t>к Порядку 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tc>
      </w:tr>
    </w:tbl>
    <w:p w:rsidR="00754869" w:rsidRPr="00754869" w:rsidRDefault="00754869" w:rsidP="0075486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54869" w:rsidRPr="00754869" w:rsidRDefault="00754869" w:rsidP="00754869">
      <w:pPr>
        <w:tabs>
          <w:tab w:val="left" w:pos="10632"/>
        </w:tabs>
        <w:spacing w:after="0" w:line="240" w:lineRule="exact"/>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Сведения</w:t>
      </w:r>
    </w:p>
    <w:p w:rsidR="00754869" w:rsidRPr="00754869" w:rsidRDefault="00754869" w:rsidP="00754869">
      <w:pPr>
        <w:spacing w:after="0" w:line="240" w:lineRule="exact"/>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 xml:space="preserve">необходимые для расчета показателей годового мониторинга и оценки качества                   финансового менеджмента, осуществляемого главными администраторами </w:t>
      </w:r>
    </w:p>
    <w:p w:rsidR="00754869" w:rsidRPr="00754869" w:rsidRDefault="00754869" w:rsidP="00754869">
      <w:pPr>
        <w:spacing w:after="0" w:line="240" w:lineRule="exact"/>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средств                    бюджета</w:t>
      </w:r>
    </w:p>
    <w:p w:rsidR="00754869" w:rsidRPr="00754869" w:rsidRDefault="00754869" w:rsidP="00754869">
      <w:pPr>
        <w:spacing w:after="0" w:line="240" w:lineRule="exact"/>
        <w:jc w:val="center"/>
        <w:rPr>
          <w:rFonts w:ascii="Times New Roman" w:eastAsia="Calibri" w:hAnsi="Times New Roman" w:cs="Times New Roman"/>
          <w:sz w:val="24"/>
          <w:szCs w:val="24"/>
          <w:lang w:eastAsia="en-US"/>
        </w:rPr>
      </w:pPr>
      <w:proofErr w:type="gramStart"/>
      <w:r w:rsidRPr="00754869">
        <w:rPr>
          <w:rFonts w:ascii="Times New Roman" w:eastAsia="Calibri" w:hAnsi="Times New Roman" w:cs="Times New Roman"/>
          <w:sz w:val="24"/>
          <w:szCs w:val="24"/>
          <w:lang w:eastAsia="en-US"/>
        </w:rPr>
        <w:t>за  _</w:t>
      </w:r>
      <w:proofErr w:type="gramEnd"/>
      <w:r w:rsidRPr="00754869">
        <w:rPr>
          <w:rFonts w:ascii="Times New Roman" w:eastAsia="Calibri" w:hAnsi="Times New Roman" w:cs="Times New Roman"/>
          <w:sz w:val="24"/>
          <w:szCs w:val="24"/>
          <w:lang w:eastAsia="en-US"/>
        </w:rPr>
        <w:t>_____________год</w:t>
      </w:r>
    </w:p>
    <w:p w:rsidR="00754869" w:rsidRPr="00754869" w:rsidRDefault="00754869" w:rsidP="00754869">
      <w:pPr>
        <w:spacing w:after="0" w:line="240" w:lineRule="exact"/>
        <w:jc w:val="center"/>
        <w:rPr>
          <w:rFonts w:ascii="Times New Roman" w:eastAsia="Calibri" w:hAnsi="Times New Roman" w:cs="Times New Roman"/>
          <w:sz w:val="24"/>
          <w:szCs w:val="24"/>
          <w:lang w:eastAsia="en-US"/>
        </w:rPr>
      </w:pPr>
    </w:p>
    <w:p w:rsidR="00754869" w:rsidRPr="00754869" w:rsidRDefault="00754869" w:rsidP="00754869">
      <w:pPr>
        <w:tabs>
          <w:tab w:val="left" w:pos="5670"/>
        </w:tabs>
        <w:spacing w:after="0" w:line="240" w:lineRule="exact"/>
        <w:jc w:val="both"/>
        <w:rPr>
          <w:rFonts w:ascii="Times New Roman" w:eastAsia="Calibri" w:hAnsi="Times New Roman" w:cs="Times New Roman"/>
          <w:sz w:val="24"/>
          <w:szCs w:val="24"/>
          <w:lang w:eastAsia="en-US"/>
        </w:rPr>
      </w:pPr>
    </w:p>
    <w:p w:rsidR="00754869" w:rsidRPr="00754869" w:rsidRDefault="00754869" w:rsidP="00754869">
      <w:pPr>
        <w:tabs>
          <w:tab w:val="left" w:pos="5670"/>
        </w:tabs>
        <w:spacing w:after="0" w:line="240" w:lineRule="exact"/>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Главный администратор средств бюджета__________________________________________</w:t>
      </w:r>
    </w:p>
    <w:p w:rsidR="00754869" w:rsidRPr="00754869" w:rsidRDefault="00754869" w:rsidP="00754869">
      <w:pPr>
        <w:spacing w:after="0" w:line="240" w:lineRule="exact"/>
        <w:jc w:val="both"/>
        <w:rPr>
          <w:rFonts w:ascii="Times New Roman" w:eastAsia="Calibri" w:hAnsi="Times New Roman" w:cs="Times New Roman"/>
          <w:sz w:val="24"/>
          <w:szCs w:val="24"/>
          <w:lang w:eastAsia="en-U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276"/>
        <w:gridCol w:w="1134"/>
        <w:gridCol w:w="2126"/>
      </w:tblGrid>
      <w:tr w:rsidR="00754869" w:rsidRPr="00754869" w:rsidTr="008932D2">
        <w:trPr>
          <w:trHeight w:val="1126"/>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п/п</w:t>
            </w:r>
          </w:p>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w:t>
            </w:r>
          </w:p>
        </w:tc>
        <w:tc>
          <w:tcPr>
            <w:tcW w:w="4678" w:type="dxa"/>
            <w:shd w:val="clear" w:color="auto" w:fill="auto"/>
          </w:tcPr>
          <w:p w:rsidR="00754869" w:rsidRPr="00754869" w:rsidRDefault="00754869" w:rsidP="00754869">
            <w:pPr>
              <w:spacing w:before="120" w:after="0" w:line="240" w:lineRule="exact"/>
              <w:jc w:val="center"/>
              <w:rPr>
                <w:rFonts w:ascii="Times New Roman" w:eastAsia="Calibri" w:hAnsi="Times New Roman" w:cs="Times New Roman"/>
                <w:sz w:val="24"/>
                <w:szCs w:val="24"/>
                <w:lang w:eastAsia="en-US"/>
              </w:rPr>
            </w:pPr>
          </w:p>
          <w:p w:rsidR="00754869" w:rsidRPr="00754869" w:rsidRDefault="00754869" w:rsidP="00754869">
            <w:pPr>
              <w:spacing w:before="120" w:after="0" w:line="240" w:lineRule="exact"/>
              <w:ind w:left="119"/>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Наименование показателей</w:t>
            </w:r>
          </w:p>
        </w:tc>
        <w:tc>
          <w:tcPr>
            <w:tcW w:w="1276" w:type="dxa"/>
            <w:shd w:val="clear" w:color="auto" w:fill="auto"/>
          </w:tcPr>
          <w:p w:rsidR="00754869" w:rsidRPr="00754869" w:rsidRDefault="00754869" w:rsidP="00754869">
            <w:pPr>
              <w:spacing w:after="0" w:line="240" w:lineRule="exact"/>
              <w:ind w:right="-108" w:hanging="102"/>
              <w:jc w:val="center"/>
              <w:rPr>
                <w:rFonts w:ascii="Times New Roman" w:eastAsia="Calibri" w:hAnsi="Times New Roman" w:cs="Times New Roman"/>
                <w:sz w:val="24"/>
                <w:szCs w:val="24"/>
                <w:lang w:eastAsia="en-US"/>
              </w:rPr>
            </w:pPr>
          </w:p>
          <w:p w:rsidR="00754869" w:rsidRPr="00754869" w:rsidRDefault="00754869" w:rsidP="00754869">
            <w:pPr>
              <w:spacing w:after="0" w:line="240" w:lineRule="exact"/>
              <w:ind w:right="-108" w:hanging="102"/>
              <w:jc w:val="center"/>
              <w:rPr>
                <w:rFonts w:ascii="Times New Roman" w:eastAsia="Calibri" w:hAnsi="Times New Roman" w:cs="Times New Roman"/>
                <w:sz w:val="24"/>
                <w:szCs w:val="24"/>
                <w:lang w:eastAsia="en-US"/>
              </w:rPr>
            </w:pPr>
          </w:p>
          <w:p w:rsidR="00754869" w:rsidRPr="00754869" w:rsidRDefault="00754869" w:rsidP="00754869">
            <w:pPr>
              <w:spacing w:after="0" w:line="240" w:lineRule="exact"/>
              <w:ind w:right="-108" w:hanging="102"/>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Единица</w:t>
            </w:r>
          </w:p>
          <w:p w:rsidR="00754869" w:rsidRPr="00754869" w:rsidRDefault="00754869" w:rsidP="00754869">
            <w:pPr>
              <w:spacing w:after="0" w:line="240" w:lineRule="exact"/>
              <w:ind w:right="-108" w:hanging="102"/>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измерения</w:t>
            </w:r>
          </w:p>
        </w:tc>
        <w:tc>
          <w:tcPr>
            <w:tcW w:w="1134" w:type="dxa"/>
            <w:tcBorders>
              <w:right w:val="single" w:sz="4" w:space="0" w:color="auto"/>
            </w:tcBorders>
          </w:tcPr>
          <w:p w:rsidR="00754869" w:rsidRPr="00754869" w:rsidRDefault="00754869" w:rsidP="00754869">
            <w:pPr>
              <w:spacing w:before="120" w:line="240" w:lineRule="exact"/>
              <w:ind w:right="174"/>
              <w:jc w:val="center"/>
              <w:rPr>
                <w:rFonts w:ascii="Times New Roman" w:eastAsia="Calibri" w:hAnsi="Times New Roman" w:cs="Times New Roman"/>
                <w:sz w:val="24"/>
                <w:szCs w:val="24"/>
                <w:lang w:eastAsia="en-US"/>
              </w:rPr>
            </w:pPr>
          </w:p>
          <w:p w:rsidR="00754869" w:rsidRPr="00754869" w:rsidRDefault="00754869" w:rsidP="00754869">
            <w:pPr>
              <w:spacing w:before="120" w:line="240" w:lineRule="exact"/>
              <w:ind w:right="-105"/>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Значение</w:t>
            </w:r>
          </w:p>
        </w:tc>
        <w:tc>
          <w:tcPr>
            <w:tcW w:w="2126" w:type="dxa"/>
            <w:tcBorders>
              <w:top w:val="single" w:sz="4" w:space="0" w:color="auto"/>
              <w:left w:val="single" w:sz="4" w:space="0" w:color="auto"/>
              <w:right w:val="single" w:sz="4" w:space="0" w:color="auto"/>
            </w:tcBorders>
          </w:tcPr>
          <w:p w:rsidR="00754869" w:rsidRPr="00754869" w:rsidRDefault="00754869" w:rsidP="00754869">
            <w:pPr>
              <w:spacing w:before="120" w:after="0" w:line="240" w:lineRule="exact"/>
              <w:ind w:left="-108" w:right="-104"/>
              <w:jc w:val="center"/>
              <w:rPr>
                <w:rFonts w:ascii="Times New Roman" w:eastAsia="Calibri" w:hAnsi="Times New Roman" w:cs="Times New Roman"/>
                <w:sz w:val="24"/>
                <w:szCs w:val="24"/>
                <w:lang w:eastAsia="en-US"/>
              </w:rPr>
            </w:pPr>
          </w:p>
          <w:p w:rsidR="00754869" w:rsidRPr="00754869" w:rsidRDefault="00754869" w:rsidP="00754869">
            <w:pPr>
              <w:spacing w:before="120" w:after="0" w:line="240" w:lineRule="exact"/>
              <w:ind w:left="-108"/>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 xml:space="preserve">Примечание </w:t>
            </w:r>
          </w:p>
        </w:tc>
      </w:tr>
      <w:tr w:rsidR="00754869" w:rsidRPr="00754869" w:rsidTr="008932D2">
        <w:trPr>
          <w:trHeight w:val="282"/>
          <w:tblHeader/>
        </w:trPr>
        <w:tc>
          <w:tcPr>
            <w:tcW w:w="568" w:type="dxa"/>
            <w:shd w:val="clear" w:color="auto" w:fill="auto"/>
          </w:tcPr>
          <w:p w:rsidR="00754869" w:rsidRPr="00754869" w:rsidRDefault="00754869" w:rsidP="00754869">
            <w:pPr>
              <w:spacing w:after="0" w:line="240" w:lineRule="exact"/>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1</w:t>
            </w:r>
          </w:p>
        </w:tc>
        <w:tc>
          <w:tcPr>
            <w:tcW w:w="4678" w:type="dxa"/>
            <w:shd w:val="clear" w:color="auto" w:fill="auto"/>
          </w:tcPr>
          <w:p w:rsidR="00754869" w:rsidRPr="00754869" w:rsidRDefault="00754869" w:rsidP="00754869">
            <w:pPr>
              <w:spacing w:after="0" w:line="240" w:lineRule="exact"/>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2</w:t>
            </w:r>
          </w:p>
        </w:tc>
        <w:tc>
          <w:tcPr>
            <w:tcW w:w="1276" w:type="dxa"/>
            <w:shd w:val="clear" w:color="auto" w:fill="auto"/>
          </w:tcPr>
          <w:p w:rsidR="00754869" w:rsidRPr="00754869" w:rsidRDefault="00754869" w:rsidP="00754869">
            <w:pPr>
              <w:spacing w:after="0" w:line="240" w:lineRule="exact"/>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3</w:t>
            </w:r>
          </w:p>
        </w:tc>
        <w:tc>
          <w:tcPr>
            <w:tcW w:w="1134" w:type="dxa"/>
            <w:shd w:val="clear" w:color="auto" w:fill="auto"/>
          </w:tcPr>
          <w:p w:rsidR="00754869" w:rsidRPr="00754869" w:rsidRDefault="00754869" w:rsidP="00754869">
            <w:pPr>
              <w:spacing w:after="0" w:line="240" w:lineRule="exact"/>
              <w:ind w:right="171"/>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4</w:t>
            </w:r>
          </w:p>
        </w:tc>
        <w:tc>
          <w:tcPr>
            <w:tcW w:w="2126" w:type="dxa"/>
          </w:tcPr>
          <w:p w:rsidR="00754869" w:rsidRPr="00754869" w:rsidRDefault="00754869" w:rsidP="00754869">
            <w:pPr>
              <w:spacing w:after="0" w:line="240" w:lineRule="exact"/>
              <w:jc w:val="center"/>
              <w:rPr>
                <w:rFonts w:ascii="Times New Roman" w:eastAsia="Calibri" w:hAnsi="Times New Roman" w:cs="Times New Roman"/>
                <w:sz w:val="20"/>
                <w:szCs w:val="20"/>
                <w:lang w:eastAsia="en-US"/>
              </w:rPr>
            </w:pPr>
            <w:r w:rsidRPr="00754869">
              <w:rPr>
                <w:rFonts w:ascii="Times New Roman" w:eastAsia="Calibri" w:hAnsi="Times New Roman" w:cs="Times New Roman"/>
                <w:sz w:val="20"/>
                <w:szCs w:val="20"/>
                <w:lang w:eastAsia="en-US"/>
              </w:rPr>
              <w:t>5</w:t>
            </w:r>
          </w:p>
        </w:tc>
      </w:tr>
      <w:tr w:rsidR="00754869" w:rsidRPr="00754869" w:rsidTr="008932D2">
        <w:trPr>
          <w:trHeight w:val="1573"/>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Количество изменений внесенных в решение о бюджете в ходе исполнения бюджета, подготовленных по инициативе главного администратора средств бюджета (без учета средств федерального (краевого) бюджета (уменьшение, увеличение) на основании уведомлений Финансового управления; изменений бюджетной классификации в соответствии с приказом Министерства финансов Российской Федерации)</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раз</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autoSpaceDE w:val="0"/>
              <w:autoSpaceDN w:val="0"/>
              <w:spacing w:after="0" w:line="240" w:lineRule="auto"/>
              <w:jc w:val="both"/>
              <w:rPr>
                <w:rFonts w:ascii="Times New Roman" w:hAnsi="Times New Roman" w:cs="Times New Roman"/>
                <w:sz w:val="24"/>
                <w:szCs w:val="24"/>
                <w:lang w:eastAsia="en-US"/>
              </w:rPr>
            </w:pPr>
            <w:r w:rsidRPr="00754869">
              <w:rPr>
                <w:rFonts w:ascii="Times New Roman" w:eastAsia="Calibri" w:hAnsi="Times New Roman" w:cs="Times New Roman"/>
                <w:color w:val="000000"/>
                <w:sz w:val="24"/>
                <w:szCs w:val="24"/>
                <w:lang w:eastAsia="en-US"/>
              </w:rPr>
              <w:t>Уведомление о бюджетных ассигнованиях</w:t>
            </w:r>
          </w:p>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1573"/>
        </w:trPr>
        <w:tc>
          <w:tcPr>
            <w:tcW w:w="568"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Объем просроченной дебиторской задолженности главного администратора средств бюджета на начало отчетного финансового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spacing w:after="0" w:line="240" w:lineRule="auto"/>
              <w:jc w:val="both"/>
              <w:rPr>
                <w:rFonts w:ascii="Times New Roman" w:eastAsia="Calibri" w:hAnsi="Times New Roman" w:cs="Times New Roman"/>
                <w:color w:val="000000"/>
                <w:sz w:val="24"/>
                <w:szCs w:val="24"/>
                <w:lang w:eastAsia="en-US"/>
              </w:rPr>
            </w:pPr>
            <w:r w:rsidRPr="00754869">
              <w:rPr>
                <w:rFonts w:ascii="Times New Roman" w:eastAsia="Calibri" w:hAnsi="Times New Roman" w:cs="Times New Roman"/>
                <w:color w:val="000000"/>
                <w:sz w:val="24"/>
                <w:szCs w:val="24"/>
                <w:lang w:eastAsia="en-US"/>
              </w:rPr>
              <w:t>Сведения по дебиторской и кредиторской задолженности (форма 0503169)</w:t>
            </w:r>
          </w:p>
        </w:tc>
      </w:tr>
      <w:tr w:rsidR="00754869" w:rsidRPr="00754869" w:rsidTr="008932D2">
        <w:trPr>
          <w:trHeight w:val="1354"/>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3.</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position w:val="-14"/>
                <w:sz w:val="24"/>
                <w:szCs w:val="24"/>
                <w:lang w:eastAsia="en-US"/>
              </w:rPr>
            </w:pPr>
            <w:r w:rsidRPr="00754869">
              <w:rPr>
                <w:rFonts w:ascii="Times New Roman" w:eastAsia="Calibri" w:hAnsi="Times New Roman" w:cs="Times New Roman"/>
                <w:position w:val="-14"/>
                <w:sz w:val="24"/>
                <w:szCs w:val="24"/>
                <w:lang w:eastAsia="en-US"/>
              </w:rPr>
              <w:t>Объем просроченной дебиторской задолженности главного администратора средств бюджета на конец отчетного финансового года</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тыс. рублей</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Сведения по дебиторской и кредиторской задолженности (форма 0503169)</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4.</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position w:val="-14"/>
                <w:sz w:val="24"/>
                <w:szCs w:val="24"/>
                <w:lang w:eastAsia="en-US"/>
              </w:rPr>
            </w:pPr>
            <w:r w:rsidRPr="00754869">
              <w:rPr>
                <w:rFonts w:ascii="Times New Roman" w:eastAsia="Calibri" w:hAnsi="Times New Roman" w:cs="Times New Roman"/>
                <w:position w:val="-14"/>
                <w:sz w:val="24"/>
                <w:szCs w:val="24"/>
                <w:lang w:eastAsia="en-US"/>
              </w:rPr>
              <w:t>Объем просроченной кредиторской задолженности главного администратора средств бюджета по состоянию на 1 января года, следующего за отчетным</w:t>
            </w:r>
          </w:p>
          <w:p w:rsidR="00754869" w:rsidRPr="00754869" w:rsidRDefault="00754869" w:rsidP="00754869">
            <w:pPr>
              <w:spacing w:after="0" w:line="240" w:lineRule="auto"/>
              <w:jc w:val="both"/>
              <w:rPr>
                <w:rFonts w:ascii="Times New Roman" w:eastAsia="Calibri" w:hAnsi="Times New Roman" w:cs="Times New Roman"/>
                <w:position w:val="-10"/>
                <w:sz w:val="24"/>
                <w:szCs w:val="24"/>
                <w:lang w:eastAsia="en-US"/>
              </w:rPr>
            </w:pP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тыс. рублей</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Сведения по дебиторской и кредиторской задолженности (форма 0503169)</w:t>
            </w:r>
          </w:p>
        </w:tc>
      </w:tr>
      <w:tr w:rsidR="00754869" w:rsidRPr="00754869" w:rsidTr="008932D2">
        <w:trPr>
          <w:trHeight w:val="796"/>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5.</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b/>
                <w:snapToGrid w:val="0"/>
                <w:color w:val="000000"/>
                <w:sz w:val="24"/>
                <w:szCs w:val="24"/>
                <w:lang w:eastAsia="en-US"/>
              </w:rPr>
            </w:pPr>
            <w:r w:rsidRPr="00754869">
              <w:rPr>
                <w:rFonts w:ascii="Times New Roman" w:eastAsia="Calibri" w:hAnsi="Times New Roman" w:cs="Times New Roman"/>
                <w:snapToGrid w:val="0"/>
                <w:color w:val="000000"/>
                <w:sz w:val="24"/>
                <w:szCs w:val="24"/>
                <w:lang w:eastAsia="en-US"/>
              </w:rPr>
              <w:t>Наличие правовых актов, обеспечивающих осуществление внутреннего финансового аудита (внутреннего финансового контроля), и соответствие их положениям федеральных стандартов внутреннего финансового аудита. Наличие решения руководителя об организации внутреннего финансового аудита</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В электронном виде или ссылка на акт в сети «Интернет»</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6.</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napToGrid w:val="0"/>
                <w:color w:val="000000"/>
                <w:sz w:val="24"/>
                <w:szCs w:val="24"/>
                <w:lang w:eastAsia="en-US"/>
              </w:rPr>
            </w:pPr>
            <w:r w:rsidRPr="00754869">
              <w:rPr>
                <w:rFonts w:ascii="Times New Roman" w:eastAsia="Calibri" w:hAnsi="Times New Roman" w:cs="Times New Roman"/>
                <w:sz w:val="24"/>
                <w:szCs w:val="24"/>
                <w:lang w:eastAsia="en-US"/>
              </w:rPr>
              <w:t>Общее количество подведомственных учреждений</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Заполняется главным администратором средств бюджета,</w:t>
            </w:r>
            <w:r w:rsidRPr="00754869">
              <w:rPr>
                <w:rFonts w:ascii="Times New Roman" w:eastAsia="Calibri" w:hAnsi="Times New Roman" w:cs="Times New Roman"/>
                <w:position w:val="-14"/>
                <w:sz w:val="24"/>
                <w:szCs w:val="24"/>
                <w:lang w:eastAsia="en-US"/>
              </w:rPr>
              <w:t xml:space="preserve"> </w:t>
            </w:r>
            <w:r w:rsidRPr="00754869">
              <w:rPr>
                <w:rFonts w:ascii="Times New Roman" w:eastAsia="Calibri" w:hAnsi="Times New Roman" w:cs="Times New Roman"/>
                <w:sz w:val="24"/>
                <w:szCs w:val="24"/>
                <w:lang w:eastAsia="en-US"/>
              </w:rPr>
              <w:t>имеющим подведомственные учреждения</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7.</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Общее количество подведомственных учреждений, которым установлены муниципальные задания в отчетном году</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Заполняется главным администратором средств бюджета, имеющим подведомственные учреждения</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8.</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Количество подведомственных учреждений итоговая оценка выполнения муниципального задания которых в отчетном году составляет 100%</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Заполняется главным администратором средств бюджета, имеющим подведомственные учреждения</w:t>
            </w: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9.</w:t>
            </w:r>
          </w:p>
        </w:tc>
        <w:tc>
          <w:tcPr>
            <w:tcW w:w="4678" w:type="dxa"/>
            <w:shd w:val="clear" w:color="auto" w:fill="auto"/>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sz w:val="24"/>
                <w:szCs w:val="24"/>
              </w:rPr>
              <w:t>Количество фактов несоблюдения главным администратором правил планирования закупок на финансовое обеспечение деятельности главного администратора средств бюджета*. Количество постановлений о назначении административного наказания</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w:t>
            </w: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10.</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Количество проведенных контрольных мероприятий в отчетном году в отношении главного администратора средств бюджета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558"/>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11.</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napToGrid w:val="0"/>
                <w:color w:val="000000"/>
                <w:sz w:val="24"/>
                <w:szCs w:val="24"/>
                <w:lang w:eastAsia="en-US"/>
              </w:rPr>
              <w:t>Наличие представлений и (или) предписаний в отношении главного администратора средств бюджета по фактам выявленных нарушений по результатам проверок органов внутреннего государственного (муниципального) финансового контроля, внешнего государственного (муниципального) финансового контроля</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1121"/>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12.</w:t>
            </w:r>
          </w:p>
        </w:tc>
        <w:tc>
          <w:tcPr>
            <w:tcW w:w="4678" w:type="dxa"/>
            <w:shd w:val="clear" w:color="auto" w:fill="auto"/>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Количество контрольных мероприятий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по которым выявленные нарушения не устранены и по которым наступил срок исполнения требования по устранению выявленных нарушений</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498"/>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13.</w:t>
            </w:r>
          </w:p>
        </w:tc>
        <w:tc>
          <w:tcPr>
            <w:tcW w:w="4678" w:type="dxa"/>
            <w:shd w:val="clear" w:color="auto" w:fill="auto"/>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sz w:val="24"/>
                <w:szCs w:val="24"/>
              </w:rPr>
              <w:t>Количество фактов выявленных нарушений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при управлении и распоряжении муниципальной собственностью, допущенных главным администратором средств бюджета</w:t>
            </w:r>
          </w:p>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tabs>
                <w:tab w:val="left" w:pos="2017"/>
              </w:tabs>
              <w:spacing w:after="0" w:line="240" w:lineRule="auto"/>
              <w:jc w:val="both"/>
              <w:rPr>
                <w:rFonts w:ascii="Times New Roman" w:eastAsia="Calibri" w:hAnsi="Times New Roman" w:cs="Times New Roman"/>
                <w:sz w:val="24"/>
                <w:szCs w:val="24"/>
                <w:lang w:eastAsia="en-US"/>
              </w:rPr>
            </w:pPr>
          </w:p>
        </w:tc>
      </w:tr>
      <w:tr w:rsidR="00754869" w:rsidRPr="00754869" w:rsidTr="008932D2">
        <w:trPr>
          <w:trHeight w:val="1472"/>
        </w:trPr>
        <w:tc>
          <w:tcPr>
            <w:tcW w:w="568"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14.</w:t>
            </w:r>
          </w:p>
        </w:tc>
        <w:tc>
          <w:tcPr>
            <w:tcW w:w="4678" w:type="dxa"/>
            <w:shd w:val="clear" w:color="auto" w:fill="auto"/>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sz w:val="24"/>
                <w:szCs w:val="24"/>
              </w:rPr>
              <w:t>Количество контрольных мероприятий в отношении главного администратора средств бюджета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в ходе которых  выявлены случаи недостач, хищений денежных средств и материальных ценностей за отчетный период</w:t>
            </w:r>
          </w:p>
        </w:tc>
        <w:tc>
          <w:tcPr>
            <w:tcW w:w="1276"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r w:rsidRPr="00754869">
              <w:rPr>
                <w:rFonts w:ascii="Times New Roman" w:eastAsia="Calibri" w:hAnsi="Times New Roman" w:cs="Times New Roman"/>
                <w:sz w:val="24"/>
                <w:szCs w:val="24"/>
                <w:lang w:eastAsia="en-US"/>
              </w:rPr>
              <w:t>шт.</w:t>
            </w:r>
          </w:p>
        </w:tc>
        <w:tc>
          <w:tcPr>
            <w:tcW w:w="1134" w:type="dxa"/>
            <w:shd w:val="clear" w:color="auto" w:fill="auto"/>
          </w:tcPr>
          <w:p w:rsidR="00754869" w:rsidRPr="00754869" w:rsidRDefault="00754869" w:rsidP="00754869">
            <w:pPr>
              <w:spacing w:after="0" w:line="240" w:lineRule="auto"/>
              <w:jc w:val="center"/>
              <w:rPr>
                <w:rFonts w:ascii="Times New Roman" w:eastAsia="Calibri" w:hAnsi="Times New Roman" w:cs="Times New Roman"/>
                <w:sz w:val="24"/>
                <w:szCs w:val="24"/>
                <w:lang w:eastAsia="en-US"/>
              </w:rPr>
            </w:pPr>
          </w:p>
        </w:tc>
        <w:tc>
          <w:tcPr>
            <w:tcW w:w="2126" w:type="dxa"/>
          </w:tcPr>
          <w:p w:rsidR="00754869" w:rsidRPr="00754869" w:rsidRDefault="00754869" w:rsidP="00754869">
            <w:pPr>
              <w:spacing w:after="0" w:line="240" w:lineRule="auto"/>
              <w:jc w:val="both"/>
              <w:rPr>
                <w:rFonts w:ascii="Times New Roman" w:eastAsia="Calibri" w:hAnsi="Times New Roman" w:cs="Times New Roman"/>
                <w:sz w:val="24"/>
                <w:szCs w:val="24"/>
                <w:lang w:eastAsia="en-US"/>
              </w:rPr>
            </w:pPr>
          </w:p>
        </w:tc>
      </w:tr>
    </w:tbl>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
    <w:p w:rsidR="00754869" w:rsidRDefault="00754869" w:rsidP="00754869">
      <w:pPr>
        <w:widowControl w:val="0"/>
        <w:autoSpaceDE w:val="0"/>
        <w:autoSpaceDN w:val="0"/>
        <w:adjustRightInd w:val="0"/>
        <w:spacing w:after="0" w:line="240" w:lineRule="auto"/>
        <w:ind w:firstLine="709"/>
        <w:jc w:val="both"/>
        <w:rPr>
          <w:rFonts w:ascii="Times New Roman" w:hAnsi="Times New Roman" w:cs="Times New Roman"/>
          <w:sz w:val="28"/>
          <w:szCs w:val="28"/>
        </w:rPr>
        <w:sectPr w:rsidR="00754869" w:rsidSect="00E0389C">
          <w:headerReference w:type="default" r:id="rId8"/>
          <w:footerReference w:type="even" r:id="rId9"/>
          <w:footerReference w:type="default" r:id="rId10"/>
          <w:pgSz w:w="11909" w:h="16838"/>
          <w:pgMar w:top="992" w:right="765" w:bottom="992" w:left="1701" w:header="0" w:footer="6" w:gutter="0"/>
          <w:cols w:space="720"/>
          <w:noEndnote/>
          <w:docGrid w:linePitch="360"/>
        </w:sectPr>
      </w:pPr>
      <w:r w:rsidRPr="00754869">
        <w:rPr>
          <w:rFonts w:ascii="Times New Roman" w:hAnsi="Times New Roman" w:cs="Times New Roman"/>
        </w:rPr>
        <w:t>*</w:t>
      </w:r>
      <w:r w:rsidRPr="00754869">
        <w:rPr>
          <w:rFonts w:ascii="Times New Roman" w:hAnsi="Times New Roman" w:cs="Times New Roman"/>
          <w:sz w:val="24"/>
          <w:szCs w:val="24"/>
        </w:rPr>
        <w:t xml:space="preserve"> несоблюдением правил планирования закупок является включение в план закупок необоснованных объектов закупок, начальных (максимальных) цен контрактов; несоблюдение порядка или формы обоснования начальной (максимальной) цены контракта, а также обоснования объекта закупки (за исключением описания объекта закупки); нарушение порядка (сроков) проведения или </w:t>
      </w:r>
      <w:proofErr w:type="spellStart"/>
      <w:r w:rsidRPr="00754869">
        <w:rPr>
          <w:rFonts w:ascii="Times New Roman" w:hAnsi="Times New Roman" w:cs="Times New Roman"/>
          <w:sz w:val="24"/>
          <w:szCs w:val="24"/>
        </w:rPr>
        <w:t>непроведение</w:t>
      </w:r>
      <w:proofErr w:type="spellEnd"/>
      <w:r w:rsidRPr="00754869">
        <w:rPr>
          <w:rFonts w:ascii="Times New Roman" w:hAnsi="Times New Roman" w:cs="Times New Roman"/>
          <w:sz w:val="24"/>
          <w:szCs w:val="24"/>
        </w:rPr>
        <w:t xml:space="preserve"> обязательного общественного обсуждения закупок;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Ориентиром является недопущение несоблюдения правил планирования закупок.</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8"/>
          <w:szCs w:val="28"/>
        </w:rPr>
      </w:pPr>
    </w:p>
    <w:tbl>
      <w:tblPr>
        <w:tblW w:w="4677" w:type="dxa"/>
        <w:tblInd w:w="10456" w:type="dxa"/>
        <w:tblLook w:val="04A0" w:firstRow="1" w:lastRow="0" w:firstColumn="1" w:lastColumn="0" w:noHBand="0" w:noVBand="1"/>
      </w:tblPr>
      <w:tblGrid>
        <w:gridCol w:w="4677"/>
      </w:tblGrid>
      <w:tr w:rsidR="00565CE7" w:rsidRPr="00754869" w:rsidTr="00565CE7">
        <w:tc>
          <w:tcPr>
            <w:tcW w:w="4677" w:type="dxa"/>
            <w:shd w:val="clear" w:color="auto" w:fill="auto"/>
          </w:tcPr>
          <w:p w:rsidR="00754869" w:rsidRPr="00754869" w:rsidRDefault="00754869" w:rsidP="00565CE7">
            <w:pPr>
              <w:widowControl w:val="0"/>
              <w:autoSpaceDE w:val="0"/>
              <w:autoSpaceDN w:val="0"/>
              <w:adjustRightInd w:val="0"/>
              <w:spacing w:after="0" w:line="240" w:lineRule="auto"/>
              <w:ind w:firstLine="709"/>
              <w:jc w:val="right"/>
              <w:rPr>
                <w:rFonts w:ascii="Times New Roman" w:eastAsia="Calibri" w:hAnsi="Times New Roman" w:cs="Times New Roman"/>
                <w:lang w:eastAsia="en-US"/>
              </w:rPr>
            </w:pPr>
            <w:r w:rsidRPr="00754869">
              <w:rPr>
                <w:rFonts w:ascii="Times New Roman" w:eastAsia="Calibri" w:hAnsi="Times New Roman" w:cs="Times New Roman"/>
                <w:lang w:eastAsia="en-US"/>
              </w:rPr>
              <w:t>Приложение 2</w:t>
            </w:r>
          </w:p>
          <w:p w:rsidR="00754869" w:rsidRPr="00754869" w:rsidRDefault="00754869" w:rsidP="00565CE7">
            <w:pPr>
              <w:widowControl w:val="0"/>
              <w:autoSpaceDE w:val="0"/>
              <w:autoSpaceDN w:val="0"/>
              <w:adjustRightInd w:val="0"/>
              <w:spacing w:after="0" w:line="240" w:lineRule="auto"/>
              <w:jc w:val="both"/>
              <w:rPr>
                <w:rFonts w:ascii="Times New Roman" w:eastAsia="Calibri" w:hAnsi="Times New Roman" w:cs="Times New Roman"/>
                <w:lang w:eastAsia="en-US"/>
              </w:rPr>
            </w:pPr>
            <w:r w:rsidRPr="00754869">
              <w:rPr>
                <w:rFonts w:ascii="Times New Roman" w:eastAsia="Calibri" w:hAnsi="Times New Roman" w:cs="Times New Roman"/>
                <w:lang w:eastAsia="en-US"/>
              </w:rPr>
              <w:t>к Порядку проведения мониторинга качества финансового менеджмента, осуществляемого главными администраторами средств бюджета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p>
        </w:tc>
      </w:tr>
    </w:tbl>
    <w:p w:rsidR="00754869" w:rsidRPr="00754869" w:rsidRDefault="00754869" w:rsidP="00754869">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54869" w:rsidRPr="00754869" w:rsidRDefault="00754869" w:rsidP="00754869">
      <w:pPr>
        <w:spacing w:after="0" w:line="240" w:lineRule="auto"/>
        <w:ind w:left="-425"/>
        <w:jc w:val="center"/>
        <w:outlineLvl w:val="0"/>
        <w:rPr>
          <w:rFonts w:ascii="Times New Roman" w:hAnsi="Times New Roman" w:cs="Times New Roman"/>
          <w:sz w:val="24"/>
          <w:szCs w:val="24"/>
        </w:rPr>
      </w:pPr>
      <w:r w:rsidRPr="00754869">
        <w:rPr>
          <w:rFonts w:ascii="Times New Roman" w:hAnsi="Times New Roman" w:cs="Times New Roman"/>
          <w:sz w:val="24"/>
          <w:szCs w:val="24"/>
        </w:rPr>
        <w:t>Показатели</w:t>
      </w:r>
    </w:p>
    <w:p w:rsidR="00754869" w:rsidRPr="00754869" w:rsidRDefault="00754869" w:rsidP="00754869">
      <w:pPr>
        <w:spacing w:after="0" w:line="240" w:lineRule="auto"/>
        <w:ind w:left="-425"/>
        <w:jc w:val="center"/>
        <w:outlineLvl w:val="0"/>
        <w:rPr>
          <w:rFonts w:ascii="Times New Roman" w:hAnsi="Times New Roman" w:cs="Times New Roman"/>
          <w:sz w:val="24"/>
          <w:szCs w:val="24"/>
        </w:rPr>
      </w:pPr>
      <w:r w:rsidRPr="00754869">
        <w:rPr>
          <w:rFonts w:ascii="Times New Roman" w:hAnsi="Times New Roman" w:cs="Times New Roman"/>
          <w:sz w:val="24"/>
          <w:szCs w:val="24"/>
        </w:rPr>
        <w:t xml:space="preserve"> годового мониторинга качества финансового менеджмента, осуществляемого главными администраторами средств бюджета</w:t>
      </w:r>
    </w:p>
    <w:p w:rsidR="00754869" w:rsidRPr="00754869" w:rsidRDefault="00754869" w:rsidP="00754869">
      <w:pPr>
        <w:spacing w:after="0" w:line="240" w:lineRule="auto"/>
        <w:ind w:left="-425"/>
        <w:jc w:val="center"/>
        <w:outlineLvl w:val="0"/>
        <w:rPr>
          <w:rFonts w:ascii="Times New Roman" w:hAnsi="Times New Roman" w:cs="Times New Roman"/>
          <w:sz w:val="28"/>
          <w:szCs w:val="28"/>
        </w:rPr>
      </w:pPr>
    </w:p>
    <w:p w:rsidR="00754869" w:rsidRPr="00754869" w:rsidRDefault="00754869" w:rsidP="00754869">
      <w:pPr>
        <w:spacing w:after="0" w:line="240" w:lineRule="auto"/>
        <w:rPr>
          <w:rFonts w:ascii="Times New Roman" w:hAnsi="Times New Roman" w:cs="Times New Roman"/>
          <w:sz w:val="2"/>
          <w:szCs w:val="2"/>
          <w:highlight w:val="yellow"/>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382"/>
        <w:gridCol w:w="17"/>
        <w:gridCol w:w="2979"/>
        <w:gridCol w:w="994"/>
        <w:gridCol w:w="1418"/>
        <w:gridCol w:w="2835"/>
        <w:gridCol w:w="2977"/>
      </w:tblGrid>
      <w:tr w:rsidR="00754869" w:rsidRPr="00754869" w:rsidTr="008932D2">
        <w:trPr>
          <w:trHeight w:val="279"/>
        </w:trPr>
        <w:tc>
          <w:tcPr>
            <w:tcW w:w="708"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п/п</w:t>
            </w:r>
          </w:p>
        </w:tc>
        <w:tc>
          <w:tcPr>
            <w:tcW w:w="3382"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Наименование показателя</w:t>
            </w:r>
          </w:p>
        </w:tc>
        <w:tc>
          <w:tcPr>
            <w:tcW w:w="2996" w:type="dxa"/>
            <w:gridSpan w:val="2"/>
            <w:vAlign w:val="center"/>
          </w:tcPr>
          <w:p w:rsidR="00754869" w:rsidRPr="00754869" w:rsidRDefault="00754869" w:rsidP="00754869">
            <w:pPr>
              <w:spacing w:after="0" w:line="240" w:lineRule="auto"/>
              <w:ind w:left="-87"/>
              <w:jc w:val="center"/>
              <w:rPr>
                <w:rFonts w:ascii="Times New Roman" w:hAnsi="Times New Roman" w:cs="Times New Roman"/>
                <w:snapToGrid w:val="0"/>
                <w:position w:val="-12"/>
                <w:sz w:val="24"/>
                <w:szCs w:val="24"/>
              </w:rPr>
            </w:pPr>
            <w:r w:rsidRPr="00754869">
              <w:rPr>
                <w:rFonts w:ascii="Times New Roman" w:hAnsi="Times New Roman" w:cs="Times New Roman"/>
                <w:snapToGrid w:val="0"/>
                <w:position w:val="-12"/>
              </w:rPr>
              <w:t>Расчет показателя</w:t>
            </w:r>
          </w:p>
        </w:tc>
        <w:tc>
          <w:tcPr>
            <w:tcW w:w="994"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 xml:space="preserve">Ед. </w:t>
            </w:r>
            <w:proofErr w:type="spellStart"/>
            <w:r w:rsidRPr="00754869">
              <w:rPr>
                <w:rFonts w:ascii="Times New Roman" w:hAnsi="Times New Roman" w:cs="Times New Roman"/>
              </w:rPr>
              <w:t>изм</w:t>
            </w:r>
            <w:proofErr w:type="spellEnd"/>
          </w:p>
        </w:tc>
        <w:tc>
          <w:tcPr>
            <w:tcW w:w="1418"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Вес группы; вес показателя в группе</w:t>
            </w:r>
          </w:p>
        </w:tc>
        <w:tc>
          <w:tcPr>
            <w:tcW w:w="2835" w:type="dxa"/>
            <w:vAlign w:val="center"/>
          </w:tcPr>
          <w:p w:rsidR="00754869" w:rsidRPr="00754869" w:rsidRDefault="00754869" w:rsidP="00754869">
            <w:pPr>
              <w:spacing w:after="0" w:line="240" w:lineRule="auto"/>
              <w:jc w:val="center"/>
              <w:rPr>
                <w:rFonts w:ascii="Times New Roman" w:hAnsi="Times New Roman" w:cs="Times New Roman"/>
                <w:snapToGrid w:val="0"/>
                <w:position w:val="-22"/>
                <w:sz w:val="24"/>
                <w:szCs w:val="24"/>
              </w:rPr>
            </w:pPr>
            <w:r w:rsidRPr="00754869">
              <w:rPr>
                <w:rFonts w:ascii="Times New Roman" w:hAnsi="Times New Roman" w:cs="Times New Roman"/>
                <w:snapToGrid w:val="0"/>
                <w:position w:val="-22"/>
              </w:rPr>
              <w:t>Оценка</w:t>
            </w:r>
          </w:p>
        </w:tc>
        <w:tc>
          <w:tcPr>
            <w:tcW w:w="2977" w:type="dxa"/>
            <w:vAlign w:val="center"/>
          </w:tcPr>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Комментарий</w:t>
            </w:r>
          </w:p>
        </w:tc>
      </w:tr>
      <w:tr w:rsidR="00754869" w:rsidRPr="00754869" w:rsidTr="008932D2">
        <w:trPr>
          <w:trHeight w:val="279"/>
        </w:trPr>
        <w:tc>
          <w:tcPr>
            <w:tcW w:w="708" w:type="dxa"/>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1</w:t>
            </w:r>
          </w:p>
        </w:tc>
        <w:tc>
          <w:tcPr>
            <w:tcW w:w="3382" w:type="dxa"/>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2</w:t>
            </w:r>
          </w:p>
        </w:tc>
        <w:tc>
          <w:tcPr>
            <w:tcW w:w="2996" w:type="dxa"/>
            <w:gridSpan w:val="2"/>
          </w:tcPr>
          <w:p w:rsidR="00754869" w:rsidRPr="00754869" w:rsidRDefault="00754869" w:rsidP="00754869">
            <w:pPr>
              <w:spacing w:after="0" w:line="240" w:lineRule="auto"/>
              <w:ind w:left="792"/>
              <w:jc w:val="center"/>
              <w:rPr>
                <w:rFonts w:ascii="Times New Roman" w:hAnsi="Times New Roman" w:cs="Times New Roman"/>
                <w:snapToGrid w:val="0"/>
                <w:position w:val="-12"/>
                <w:sz w:val="20"/>
                <w:szCs w:val="20"/>
              </w:rPr>
            </w:pPr>
            <w:r w:rsidRPr="00754869">
              <w:rPr>
                <w:rFonts w:ascii="Times New Roman" w:hAnsi="Times New Roman" w:cs="Times New Roman"/>
                <w:snapToGrid w:val="0"/>
                <w:position w:val="-12"/>
                <w:sz w:val="20"/>
                <w:szCs w:val="20"/>
              </w:rPr>
              <w:t>3</w:t>
            </w:r>
          </w:p>
        </w:tc>
        <w:tc>
          <w:tcPr>
            <w:tcW w:w="994" w:type="dxa"/>
            <w:vAlign w:val="center"/>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4</w:t>
            </w:r>
          </w:p>
        </w:tc>
        <w:tc>
          <w:tcPr>
            <w:tcW w:w="1418" w:type="dxa"/>
            <w:vAlign w:val="center"/>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5</w:t>
            </w:r>
          </w:p>
        </w:tc>
        <w:tc>
          <w:tcPr>
            <w:tcW w:w="2835" w:type="dxa"/>
            <w:vAlign w:val="center"/>
          </w:tcPr>
          <w:p w:rsidR="00754869" w:rsidRPr="00754869" w:rsidRDefault="00754869" w:rsidP="00754869">
            <w:pPr>
              <w:spacing w:after="0" w:line="240" w:lineRule="auto"/>
              <w:jc w:val="center"/>
              <w:rPr>
                <w:rFonts w:ascii="Times New Roman" w:hAnsi="Times New Roman" w:cs="Times New Roman"/>
                <w:snapToGrid w:val="0"/>
                <w:position w:val="-22"/>
                <w:sz w:val="20"/>
                <w:szCs w:val="20"/>
              </w:rPr>
            </w:pPr>
            <w:r w:rsidRPr="00754869">
              <w:rPr>
                <w:rFonts w:ascii="Times New Roman" w:hAnsi="Times New Roman" w:cs="Times New Roman"/>
                <w:snapToGrid w:val="0"/>
                <w:position w:val="-22"/>
                <w:sz w:val="20"/>
                <w:szCs w:val="20"/>
              </w:rPr>
              <w:t>6</w:t>
            </w:r>
          </w:p>
        </w:tc>
        <w:tc>
          <w:tcPr>
            <w:tcW w:w="2977" w:type="dxa"/>
          </w:tcPr>
          <w:p w:rsidR="00754869" w:rsidRPr="00754869" w:rsidRDefault="00754869" w:rsidP="00754869">
            <w:pPr>
              <w:spacing w:after="0" w:line="240" w:lineRule="auto"/>
              <w:jc w:val="center"/>
              <w:rPr>
                <w:rFonts w:ascii="Times New Roman" w:hAnsi="Times New Roman" w:cs="Times New Roman"/>
                <w:sz w:val="20"/>
                <w:szCs w:val="20"/>
              </w:rPr>
            </w:pPr>
            <w:r w:rsidRPr="00754869">
              <w:rPr>
                <w:rFonts w:ascii="Times New Roman" w:hAnsi="Times New Roman" w:cs="Times New Roman"/>
                <w:sz w:val="20"/>
                <w:szCs w:val="20"/>
              </w:rPr>
              <w:t>7</w:t>
            </w:r>
          </w:p>
        </w:tc>
      </w:tr>
      <w:tr w:rsidR="00754869" w:rsidRPr="00E63296" w:rsidTr="008932D2">
        <w:trPr>
          <w:trHeight w:val="429"/>
        </w:trPr>
        <w:tc>
          <w:tcPr>
            <w:tcW w:w="8080" w:type="dxa"/>
            <w:gridSpan w:val="5"/>
          </w:tcPr>
          <w:p w:rsidR="00754869" w:rsidRPr="00E63296" w:rsidRDefault="00754869" w:rsidP="00E63296">
            <w:pPr>
              <w:spacing w:after="0" w:line="240" w:lineRule="auto"/>
              <w:rPr>
                <w:rFonts w:ascii="Times New Roman" w:hAnsi="Times New Roman" w:cs="Times New Roman"/>
                <w:b/>
                <w:sz w:val="24"/>
                <w:szCs w:val="24"/>
              </w:rPr>
            </w:pPr>
            <w:r w:rsidRPr="00E63296">
              <w:rPr>
                <w:rFonts w:ascii="Times New Roman" w:hAnsi="Times New Roman" w:cs="Times New Roman"/>
                <w:b/>
              </w:rPr>
              <w:t>1. Бюджетное  планирование</w:t>
            </w:r>
          </w:p>
        </w:tc>
        <w:tc>
          <w:tcPr>
            <w:tcW w:w="1418" w:type="dxa"/>
            <w:vAlign w:val="center"/>
          </w:tcPr>
          <w:p w:rsidR="00754869" w:rsidRPr="00E63296" w:rsidRDefault="00754869" w:rsidP="00E63296">
            <w:pPr>
              <w:spacing w:after="0" w:line="240" w:lineRule="auto"/>
              <w:jc w:val="center"/>
              <w:rPr>
                <w:rFonts w:ascii="Times New Roman" w:hAnsi="Times New Roman" w:cs="Times New Roman"/>
                <w:b/>
                <w:color w:val="000000"/>
                <w:sz w:val="24"/>
                <w:szCs w:val="24"/>
              </w:rPr>
            </w:pPr>
            <w:r w:rsidRPr="00E63296">
              <w:rPr>
                <w:rFonts w:ascii="Times New Roman" w:hAnsi="Times New Roman" w:cs="Times New Roman"/>
                <w:b/>
                <w:color w:val="000000"/>
              </w:rPr>
              <w:t>25</w:t>
            </w:r>
          </w:p>
        </w:tc>
        <w:tc>
          <w:tcPr>
            <w:tcW w:w="2835" w:type="dxa"/>
            <w:vAlign w:val="center"/>
          </w:tcPr>
          <w:p w:rsidR="00754869" w:rsidRPr="00E63296" w:rsidRDefault="00754869" w:rsidP="00E63296">
            <w:pPr>
              <w:spacing w:after="0" w:line="240" w:lineRule="auto"/>
              <w:ind w:firstLine="171"/>
              <w:jc w:val="center"/>
              <w:rPr>
                <w:rFonts w:ascii="Times New Roman" w:hAnsi="Times New Roman" w:cs="Times New Roman"/>
                <w:b/>
                <w:snapToGrid w:val="0"/>
                <w:position w:val="-22"/>
                <w:sz w:val="24"/>
                <w:szCs w:val="24"/>
              </w:rPr>
            </w:pPr>
          </w:p>
        </w:tc>
        <w:tc>
          <w:tcPr>
            <w:tcW w:w="2977" w:type="dxa"/>
          </w:tcPr>
          <w:p w:rsidR="00754869" w:rsidRPr="00E63296" w:rsidRDefault="00754869" w:rsidP="00E63296">
            <w:pPr>
              <w:spacing w:after="0" w:line="240" w:lineRule="auto"/>
              <w:ind w:right="-108"/>
              <w:jc w:val="both"/>
              <w:rPr>
                <w:rFonts w:ascii="Times New Roman" w:hAnsi="Times New Roman" w:cs="Times New Roman"/>
                <w:b/>
                <w:sz w:val="24"/>
                <w:szCs w:val="24"/>
              </w:rPr>
            </w:pPr>
          </w:p>
        </w:tc>
      </w:tr>
      <w:tr w:rsidR="00754869" w:rsidRPr="00754869" w:rsidTr="008932D2">
        <w:trPr>
          <w:trHeight w:val="2374"/>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1.1.</w:t>
            </w:r>
          </w:p>
        </w:tc>
        <w:tc>
          <w:tcPr>
            <w:tcW w:w="3399"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Доля бюджетных ассигнований главного администратора средств бюджета (далее – ГАБС), формируемых в рамках муниципальных программ, в общем объеме расходов ГАБС</w:t>
            </w:r>
          </w:p>
        </w:tc>
        <w:tc>
          <w:tcPr>
            <w:tcW w:w="2979"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roofErr w:type="gramStart"/>
            <w:r w:rsidRPr="00754869">
              <w:rPr>
                <w:rFonts w:ascii="Times New Roman" w:hAnsi="Times New Roman" w:cs="Times New Roman"/>
                <w:lang w:val="en-US"/>
              </w:rPr>
              <w:t>P</w:t>
            </w:r>
            <w:r w:rsidRPr="00754869">
              <w:rPr>
                <w:rFonts w:ascii="Times New Roman" w:hAnsi="Times New Roman" w:cs="Times New Roman"/>
              </w:rPr>
              <w:t xml:space="preserve">  =</w:t>
            </w:r>
            <w:proofErr w:type="gramEnd"/>
            <w:r w:rsidRPr="00754869">
              <w:rPr>
                <w:rFonts w:ascii="Times New Roman" w:hAnsi="Times New Roman" w:cs="Times New Roman"/>
              </w:rPr>
              <w:t xml:space="preserve"> </w:t>
            </w:r>
            <w:proofErr w:type="spellStart"/>
            <w:r w:rsidRPr="00754869">
              <w:rPr>
                <w:rFonts w:ascii="Times New Roman" w:hAnsi="Times New Roman" w:cs="Times New Roman"/>
              </w:rPr>
              <w:t>Sp</w:t>
            </w:r>
            <w:proofErr w:type="spellEnd"/>
            <w:r w:rsidRPr="00754869">
              <w:rPr>
                <w:rFonts w:ascii="Times New Roman" w:hAnsi="Times New Roman" w:cs="Times New Roman"/>
              </w:rPr>
              <w:t xml:space="preserve"> / S x 100, где:</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lang w:val="en-US"/>
              </w:rPr>
              <w:t>Sp</w:t>
            </w:r>
            <w:proofErr w:type="spellEnd"/>
            <w:r w:rsidRPr="00754869">
              <w:rPr>
                <w:rFonts w:ascii="Times New Roman" w:hAnsi="Times New Roman" w:cs="Times New Roman"/>
              </w:rPr>
              <w:t xml:space="preserve"> – объем бюджетных ассигнований ГАБС, формируемых в рамках муниципальных программ, на конец отчетного периода;</w:t>
            </w:r>
          </w:p>
          <w:p w:rsidR="00754869" w:rsidRPr="00754869" w:rsidRDefault="00754869" w:rsidP="00754869">
            <w:pPr>
              <w:spacing w:after="0" w:line="240" w:lineRule="exact"/>
              <w:jc w:val="both"/>
              <w:rPr>
                <w:rFonts w:ascii="Times New Roman" w:hAnsi="Times New Roman" w:cs="Times New Roman"/>
                <w:snapToGrid w:val="0"/>
                <w:sz w:val="24"/>
                <w:szCs w:val="24"/>
              </w:rPr>
            </w:pPr>
            <w:r w:rsidRPr="00754869">
              <w:rPr>
                <w:rFonts w:ascii="Times New Roman" w:hAnsi="Times New Roman" w:cs="Times New Roman"/>
                <w:lang w:val="en-US"/>
              </w:rPr>
              <w:t>S</w:t>
            </w:r>
            <w:r w:rsidRPr="00754869">
              <w:rPr>
                <w:rFonts w:ascii="Times New Roman" w:hAnsi="Times New Roman" w:cs="Times New Roman"/>
              </w:rPr>
              <w:t xml:space="preserve"> – общий объем бюджетных ассигнований ГАБС на конец отчетного периода</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45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ind w:firstLine="720"/>
              <w:jc w:val="center"/>
              <w:rPr>
                <w:rFonts w:ascii="Times New Roman" w:hAnsi="Times New Roman" w:cs="Times New Roman"/>
                <w:bCs/>
                <w:sz w:val="24"/>
                <w:szCs w:val="24"/>
              </w:rPr>
            </w:pPr>
          </w:p>
          <w:p w:rsidR="00754869" w:rsidRPr="00754869" w:rsidRDefault="00754869" w:rsidP="00754869">
            <w:pPr>
              <w:autoSpaceDE w:val="0"/>
              <w:autoSpaceDN w:val="0"/>
              <w:adjustRightInd w:val="0"/>
              <w:spacing w:after="0" w:line="240" w:lineRule="auto"/>
              <w:ind w:firstLine="720"/>
              <w:jc w:val="center"/>
              <w:rPr>
                <w:rFonts w:ascii="Times New Roman" w:hAnsi="Times New Roman" w:cs="Times New Roman"/>
                <w:bCs/>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bCs/>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 xml:space="preserve">5, если </w:t>
            </w:r>
            <w:r w:rsidRPr="00754869">
              <w:rPr>
                <w:rFonts w:ascii="Times New Roman" w:hAnsi="Times New Roman" w:cs="Times New Roman"/>
                <w:bCs/>
                <w:lang w:val="en-US"/>
              </w:rPr>
              <w:t>P</w:t>
            </w:r>
            <w:r w:rsidRPr="00754869">
              <w:rPr>
                <w:rFonts w:ascii="Times New Roman" w:hAnsi="Times New Roman" w:cs="Times New Roman"/>
                <w:bCs/>
              </w:rPr>
              <w:t xml:space="preserve"> ≥ 90,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proofErr w:type="gramStart"/>
            <w:r w:rsidRPr="00754869">
              <w:rPr>
                <w:rFonts w:ascii="Times New Roman" w:hAnsi="Times New Roman" w:cs="Times New Roman"/>
                <w:lang w:val="en-US"/>
              </w:rPr>
              <w:t>P</w:t>
            </w:r>
            <w:r w:rsidRPr="00754869">
              <w:rPr>
                <w:rFonts w:ascii="Times New Roman" w:hAnsi="Times New Roman" w:cs="Times New Roman"/>
                <w:bCs/>
                <w:vertAlign w:val="subscript"/>
              </w:rPr>
              <w:t>)  =</w:t>
            </w:r>
            <w:proofErr w:type="gramEnd"/>
            <w:r w:rsidRPr="00754869">
              <w:rPr>
                <w:rFonts w:ascii="Times New Roman" w:hAnsi="Times New Roman" w:cs="Times New Roman"/>
                <w:bCs/>
                <w:vertAlign w:val="subscript"/>
              </w:rPr>
              <w:t xml:space="preserve"> </w:t>
            </w:r>
            <w:r w:rsidRPr="00754869">
              <w:rPr>
                <w:rFonts w:ascii="Times New Roman" w:hAnsi="Times New Roman" w:cs="Times New Roman"/>
                <w:bCs/>
              </w:rPr>
              <w:t xml:space="preserve">3, если </w:t>
            </w:r>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 50</w:t>
            </w:r>
            <w:r w:rsidRPr="00754869">
              <w:rPr>
                <w:rFonts w:ascii="Times New Roman" w:hAnsi="Times New Roman" w:cs="Times New Roman"/>
                <w:bCs/>
              </w:rPr>
              <w:t xml:space="preserve"> </w:t>
            </w:r>
            <w:r w:rsidRPr="00754869">
              <w:rPr>
                <w:rFonts w:ascii="Times New Roman" w:hAnsi="Times New Roman" w:cs="Times New Roman"/>
              </w:rPr>
              <w:t xml:space="preserve"> &lt; 90,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 xml:space="preserve">1, если </w:t>
            </w:r>
            <w:proofErr w:type="gramStart"/>
            <w:r w:rsidRPr="00754869">
              <w:rPr>
                <w:rFonts w:ascii="Times New Roman" w:hAnsi="Times New Roman" w:cs="Times New Roman"/>
                <w:lang w:val="en-US"/>
              </w:rPr>
              <w:t>P</w:t>
            </w:r>
            <w:r w:rsidRPr="00754869">
              <w:rPr>
                <w:rFonts w:ascii="Times New Roman" w:hAnsi="Times New Roman" w:cs="Times New Roman"/>
                <w:bCs/>
              </w:rPr>
              <w:t xml:space="preserve"> </w:t>
            </w:r>
            <w:r w:rsidRPr="00754869">
              <w:rPr>
                <w:rFonts w:ascii="Times New Roman" w:hAnsi="Times New Roman" w:cs="Times New Roman"/>
              </w:rPr>
              <w:t xml:space="preserve"> ≤</w:t>
            </w:r>
            <w:proofErr w:type="gramEnd"/>
            <w:r w:rsidRPr="00754869">
              <w:rPr>
                <w:rFonts w:ascii="Times New Roman" w:hAnsi="Times New Roman" w:cs="Times New Roman"/>
                <w:bCs/>
                <w:vertAlign w:val="subscript"/>
              </w:rPr>
              <w:t xml:space="preserve">. </w:t>
            </w:r>
            <w:r w:rsidRPr="00754869">
              <w:rPr>
                <w:rFonts w:ascii="Times New Roman" w:hAnsi="Times New Roman" w:cs="Times New Roman"/>
              </w:rPr>
              <w:t xml:space="preserve"> 30 </w:t>
            </w:r>
            <w:proofErr w:type="gramStart"/>
            <w:r w:rsidRPr="00754869">
              <w:rPr>
                <w:rFonts w:ascii="Times New Roman" w:hAnsi="Times New Roman" w:cs="Times New Roman"/>
              </w:rPr>
              <w:t>&lt; 50</w:t>
            </w:r>
            <w:proofErr w:type="gramEnd"/>
            <w:r w:rsidRPr="00754869">
              <w:rPr>
                <w:rFonts w:ascii="Times New Roman" w:hAnsi="Times New Roman" w:cs="Times New Roman"/>
              </w:rPr>
              <w:t>,</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proofErr w:type="gramStart"/>
            <w:r w:rsidRPr="00754869">
              <w:rPr>
                <w:rFonts w:ascii="Times New Roman" w:hAnsi="Times New Roman" w:cs="Times New Roman"/>
                <w:bCs/>
              </w:rPr>
              <w:t>0</w:t>
            </w:r>
            <w:r w:rsidRPr="00754869">
              <w:rPr>
                <w:rFonts w:ascii="Times New Roman" w:hAnsi="Times New Roman" w:cs="Times New Roman"/>
                <w:bCs/>
                <w:vertAlign w:val="subscript"/>
              </w:rPr>
              <w:t xml:space="preserve"> ,</w:t>
            </w:r>
            <w:proofErr w:type="gramEnd"/>
            <w:r w:rsidRPr="00754869">
              <w:rPr>
                <w:rFonts w:ascii="Times New Roman" w:hAnsi="Times New Roman" w:cs="Times New Roman"/>
                <w:bCs/>
                <w:vertAlign w:val="subscript"/>
              </w:rPr>
              <w:t xml:space="preserve"> </w:t>
            </w:r>
            <w:r w:rsidRPr="00754869">
              <w:rPr>
                <w:rFonts w:ascii="Times New Roman" w:hAnsi="Times New Roman" w:cs="Times New Roman"/>
              </w:rPr>
              <w:t xml:space="preserve">если </w:t>
            </w:r>
            <w:r w:rsidRPr="00754869">
              <w:rPr>
                <w:rFonts w:ascii="Times New Roman" w:hAnsi="Times New Roman" w:cs="Times New Roman"/>
                <w:lang w:val="en-US"/>
              </w:rPr>
              <w:t>P</w:t>
            </w:r>
            <w:r w:rsidRPr="00754869">
              <w:rPr>
                <w:rFonts w:ascii="Times New Roman" w:hAnsi="Times New Roman" w:cs="Times New Roman"/>
                <w:bCs/>
              </w:rPr>
              <w:t xml:space="preserve"> </w:t>
            </w:r>
            <w:r w:rsidRPr="00754869">
              <w:rPr>
                <w:rFonts w:ascii="Times New Roman" w:hAnsi="Times New Roman" w:cs="Times New Roman"/>
              </w:rPr>
              <w:t>&lt; 30</w:t>
            </w: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ind w:firstLine="72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позитивно расценивается рост доли бюджетных ассигнований, представленных в программном виде, по каждому ГАБС.</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90% и более.</w:t>
            </w:r>
          </w:p>
        </w:tc>
      </w:tr>
      <w:tr w:rsidR="00754869" w:rsidRPr="00754869" w:rsidTr="008932D2">
        <w:trPr>
          <w:trHeight w:val="558"/>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z w:val="24"/>
                <w:szCs w:val="24"/>
              </w:rPr>
            </w:pPr>
            <w:r w:rsidRPr="00754869">
              <w:rPr>
                <w:rFonts w:ascii="Times New Roman" w:hAnsi="Times New Roman" w:cs="Times New Roman"/>
              </w:rPr>
              <w:t>1.2.</w:t>
            </w:r>
          </w:p>
        </w:tc>
        <w:tc>
          <w:tcPr>
            <w:tcW w:w="3399"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Качество планирования расходов: доля суммы изменений в сводную бюджетную роспись бюджета </w:t>
            </w:r>
          </w:p>
        </w:tc>
        <w:tc>
          <w:tcPr>
            <w:tcW w:w="2979"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napToGrid w:val="0"/>
                <w:position w:val="-12"/>
                <w:sz w:val="24"/>
                <w:szCs w:val="24"/>
              </w:rPr>
            </w:pPr>
            <w:r w:rsidRPr="00754869">
              <w:rPr>
                <w:rFonts w:ascii="Times New Roman" w:hAnsi="Times New Roman" w:cs="Times New Roman"/>
              </w:rPr>
              <w:t>Р  – количество изменений в решение о бюджете в ходе исполнения бюджета, подготовленных по инициативе ГАБС (без учета поступлений из федерального (краевого) бюджета; изменений бюджетной классификации в соответствии с приказом Министерства финансов Российской Федерации)</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раз</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35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=1, если Р= 0,</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w:t>
            </w:r>
            <w:r w:rsidRPr="00754869">
              <w:rPr>
                <w:rFonts w:ascii="Times New Roman" w:hAnsi="Times New Roman" w:cs="Times New Roman"/>
              </w:rPr>
              <w:t xml:space="preserve"> = 0,5, если Р</w:t>
            </w:r>
            <w:r w:rsidRPr="00754869">
              <w:rPr>
                <w:rFonts w:ascii="Times New Roman" w:hAnsi="Times New Roman" w:cs="Times New Roman"/>
                <w:vertAlign w:val="subscript"/>
              </w:rPr>
              <w:t>.</w:t>
            </w:r>
            <w:r w:rsidRPr="00754869">
              <w:rPr>
                <w:rFonts w:ascii="Times New Roman" w:hAnsi="Times New Roman" w:cs="Times New Roman"/>
              </w:rPr>
              <w:t>≤3,</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w:t>
            </w:r>
            <w:r w:rsidRPr="00754869">
              <w:rPr>
                <w:rFonts w:ascii="Times New Roman" w:hAnsi="Times New Roman" w:cs="Times New Roman"/>
              </w:rPr>
              <w:t xml:space="preserve"> = 0, если Р</w:t>
            </w:r>
            <w:r w:rsidRPr="00754869">
              <w:rPr>
                <w:rFonts w:ascii="Times New Roman" w:hAnsi="Times New Roman" w:cs="Times New Roman"/>
                <w:vertAlign w:val="subscript"/>
              </w:rPr>
              <w:t>.</w:t>
            </w:r>
            <w:r w:rsidRPr="00754869">
              <w:rPr>
                <w:rFonts w:ascii="Times New Roman" w:hAnsi="Times New Roman" w:cs="Times New Roman"/>
              </w:rPr>
              <w:t>&gt;3</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большое количество уведомлений об изменении сводной бюджетной росписи бюджета и лимитов бюджетных обязательств свидетельствует о низком качестве работы ГАБС по финансовому планированию.</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0.</w:t>
            </w:r>
          </w:p>
        </w:tc>
      </w:tr>
      <w:tr w:rsidR="00754869" w:rsidRPr="00754869" w:rsidTr="00754869">
        <w:trPr>
          <w:trHeight w:val="2064"/>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exact"/>
              <w:rPr>
                <w:rFonts w:ascii="Times New Roman" w:hAnsi="Times New Roman" w:cs="Times New Roman"/>
                <w:sz w:val="24"/>
                <w:szCs w:val="24"/>
              </w:rPr>
            </w:pPr>
            <w:r w:rsidRPr="00754869">
              <w:rPr>
                <w:rFonts w:ascii="Times New Roman" w:hAnsi="Times New Roman" w:cs="Times New Roman"/>
              </w:rPr>
              <w:t>1.3.</w:t>
            </w:r>
          </w:p>
        </w:tc>
        <w:tc>
          <w:tcPr>
            <w:tcW w:w="3399"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exact"/>
              <w:jc w:val="both"/>
              <w:rPr>
                <w:rFonts w:ascii="Times New Roman" w:hAnsi="Times New Roman" w:cs="Times New Roman"/>
                <w:sz w:val="24"/>
                <w:szCs w:val="24"/>
              </w:rPr>
            </w:pPr>
            <w:r w:rsidRPr="00754869">
              <w:rPr>
                <w:rFonts w:ascii="Times New Roman" w:hAnsi="Times New Roman" w:cs="Times New Roman"/>
              </w:rPr>
              <w:t>Своевременность представления ГАБС в Финансовое управление  обоснований бюджетных ассигнований на очередной финансовый год и на плановый период</w:t>
            </w:r>
          </w:p>
        </w:tc>
        <w:tc>
          <w:tcPr>
            <w:tcW w:w="2979" w:type="dxa"/>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exact"/>
              <w:jc w:val="both"/>
              <w:rPr>
                <w:rFonts w:ascii="Times New Roman" w:hAnsi="Times New Roman" w:cs="Times New Roman"/>
                <w:sz w:val="24"/>
                <w:szCs w:val="24"/>
              </w:rPr>
            </w:pPr>
            <w:r w:rsidRPr="00754869">
              <w:rPr>
                <w:rFonts w:ascii="Times New Roman" w:hAnsi="Times New Roman" w:cs="Times New Roman"/>
              </w:rPr>
              <w:t>Р – количество дней отклонения от даты представления ГАБС в Финансовое управление обоснований</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565CE7">
            <w:pPr>
              <w:spacing w:after="0" w:line="240" w:lineRule="exact"/>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565CE7">
            <w:pPr>
              <w:spacing w:after="0" w:line="240" w:lineRule="exact"/>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auto"/>
              <w:jc w:val="both"/>
              <w:rPr>
                <w:rFonts w:ascii="Times New Roman" w:hAnsi="Times New Roman" w:cs="Times New Roman"/>
                <w:sz w:val="24"/>
                <w:szCs w:val="24"/>
              </w:rPr>
            </w:pPr>
          </w:p>
          <w:p w:rsidR="00754869" w:rsidRPr="00754869" w:rsidRDefault="00754869" w:rsidP="00565CE7">
            <w:pPr>
              <w:spacing w:after="0" w:line="240" w:lineRule="auto"/>
              <w:jc w:val="both"/>
              <w:rPr>
                <w:rFonts w:ascii="Times New Roman" w:hAnsi="Times New Roman" w:cs="Times New Roman"/>
                <w:sz w:val="24"/>
                <w:szCs w:val="24"/>
              </w:rPr>
            </w:pPr>
            <w:proofErr w:type="gramStart"/>
            <w:r w:rsidRPr="00754869">
              <w:rPr>
                <w:rFonts w:ascii="Times New Roman" w:hAnsi="Times New Roman" w:cs="Times New Roman"/>
                <w:lang w:val="en-US"/>
              </w:rPr>
              <w:t>E</w:t>
            </w:r>
            <w:r w:rsidRPr="00754869">
              <w:rPr>
                <w:rFonts w:ascii="Times New Roman" w:hAnsi="Times New Roman" w:cs="Times New Roman"/>
              </w:rPr>
              <w:t>(</w:t>
            </w:r>
            <w:proofErr w:type="gramEnd"/>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=0, если Р= 5,</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proofErr w:type="gramStart"/>
            <w:r w:rsidRPr="00754869">
              <w:rPr>
                <w:rFonts w:ascii="Times New Roman" w:hAnsi="Times New Roman" w:cs="Times New Roman"/>
              </w:rPr>
              <w:t>Р</w:t>
            </w:r>
            <w:r w:rsidRPr="00754869">
              <w:rPr>
                <w:rFonts w:ascii="Times New Roman" w:hAnsi="Times New Roman" w:cs="Times New Roman"/>
                <w:vertAlign w:val="subscript"/>
              </w:rPr>
              <w:t xml:space="preserve"> )</w:t>
            </w:r>
            <w:proofErr w:type="gramEnd"/>
            <w:r w:rsidRPr="00754869">
              <w:rPr>
                <w:rFonts w:ascii="Times New Roman" w:hAnsi="Times New Roman" w:cs="Times New Roman"/>
              </w:rPr>
              <w:t>=1, если Р= 4,</w:t>
            </w:r>
          </w:p>
          <w:p w:rsidR="00754869" w:rsidRPr="00754869" w:rsidRDefault="00754869" w:rsidP="00565CE7">
            <w:pPr>
              <w:spacing w:after="0" w:line="240" w:lineRule="auto"/>
              <w:jc w:val="both"/>
              <w:rPr>
                <w:rFonts w:ascii="Times New Roman" w:hAnsi="Times New Roman" w:cs="Times New Roman"/>
                <w:sz w:val="24"/>
                <w:szCs w:val="24"/>
              </w:rPr>
            </w:pPr>
            <w:proofErr w:type="gramStart"/>
            <w:r w:rsidRPr="00754869">
              <w:rPr>
                <w:rFonts w:ascii="Times New Roman" w:hAnsi="Times New Roman" w:cs="Times New Roman"/>
                <w:lang w:val="en-US"/>
              </w:rPr>
              <w:t>E</w:t>
            </w:r>
            <w:r w:rsidRPr="00754869">
              <w:rPr>
                <w:rFonts w:ascii="Times New Roman" w:hAnsi="Times New Roman" w:cs="Times New Roman"/>
              </w:rPr>
              <w:t>(</w:t>
            </w:r>
            <w:proofErr w:type="gramEnd"/>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=2, если Р= 3,</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 </w:t>
            </w:r>
            <w:r w:rsidRPr="00754869">
              <w:rPr>
                <w:rFonts w:ascii="Times New Roman" w:hAnsi="Times New Roman" w:cs="Times New Roman"/>
              </w:rPr>
              <w:t>3, если Р= 2,</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 4, если Р= 1,</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=5, если Р= 0</w:t>
            </w:r>
          </w:p>
          <w:p w:rsidR="00754869" w:rsidRPr="00754869" w:rsidRDefault="00754869" w:rsidP="00565CE7">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rPr>
              <w:t>положительное значение показателя свидетельствует о соблюдении ГАБС сроков предоставления обоснований в Финансовое управление.</w:t>
            </w:r>
          </w:p>
          <w:p w:rsidR="00754869" w:rsidRPr="00754869" w:rsidRDefault="00754869" w:rsidP="00565CE7">
            <w:pPr>
              <w:spacing w:after="0" w:line="240" w:lineRule="auto"/>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0.</w:t>
            </w:r>
          </w:p>
        </w:tc>
      </w:tr>
      <w:tr w:rsidR="00754869" w:rsidRPr="00754869" w:rsidTr="008932D2">
        <w:trPr>
          <w:trHeight w:val="564"/>
        </w:trPr>
        <w:tc>
          <w:tcPr>
            <w:tcW w:w="8080" w:type="dxa"/>
            <w:gridSpan w:val="5"/>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b/>
                <w:sz w:val="24"/>
                <w:szCs w:val="24"/>
              </w:rPr>
            </w:pPr>
            <w:r w:rsidRPr="00754869">
              <w:rPr>
                <w:rFonts w:ascii="Times New Roman" w:hAnsi="Times New Roman" w:cs="Times New Roman"/>
                <w:b/>
              </w:rPr>
              <w:t>2. Исполнение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b/>
                <w:sz w:val="24"/>
                <w:szCs w:val="24"/>
              </w:rPr>
            </w:pPr>
            <w:r w:rsidRPr="00754869">
              <w:rPr>
                <w:rFonts w:ascii="Times New Roman" w:hAnsi="Times New Roman" w:cs="Times New Roman"/>
                <w:b/>
              </w:rPr>
              <w:t>35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rPr>
                <w:rFonts w:ascii="Times New Roman" w:hAnsi="Times New Roman" w:cs="Times New Roman"/>
                <w:b/>
                <w:sz w:val="24"/>
                <w:szCs w:val="24"/>
              </w:rPr>
            </w:pPr>
          </w:p>
        </w:tc>
      </w:tr>
      <w:tr w:rsidR="00754869" w:rsidRPr="00754869" w:rsidTr="00565CE7">
        <w:trPr>
          <w:trHeight w:val="828"/>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2.1.</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Исполнение бюджетных ассигнований на конец отчетного года</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rPr>
                <w:rFonts w:ascii="Times New Roman" w:hAnsi="Times New Roman" w:cs="Times New Roman"/>
                <w:sz w:val="24"/>
                <w:szCs w:val="24"/>
              </w:rPr>
            </w:pPr>
            <w:proofErr w:type="gramStart"/>
            <w:r w:rsidRPr="00754869">
              <w:rPr>
                <w:rFonts w:ascii="Times New Roman" w:hAnsi="Times New Roman" w:cs="Times New Roman"/>
                <w:lang w:val="en-US"/>
              </w:rPr>
              <w:t>P</w:t>
            </w:r>
            <w:r w:rsidRPr="00754869">
              <w:rPr>
                <w:rFonts w:ascii="Times New Roman" w:hAnsi="Times New Roman" w:cs="Times New Roman"/>
              </w:rPr>
              <w:t xml:space="preserve">  =</w:t>
            </w:r>
            <w:proofErr w:type="gramEnd"/>
            <w:r w:rsidRPr="00754869">
              <w:rPr>
                <w:rFonts w:ascii="Times New Roman" w:hAnsi="Times New Roman" w:cs="Times New Roman"/>
              </w:rPr>
              <w:t xml:space="preserve"> 100 x </w:t>
            </w:r>
            <w:r w:rsidRPr="00754869">
              <w:rPr>
                <w:rFonts w:ascii="Times New Roman" w:hAnsi="Times New Roman" w:cs="Times New Roman"/>
                <w:lang w:val="en-US"/>
              </w:rPr>
              <w:t>K</w:t>
            </w:r>
            <w:r w:rsidRPr="00754869">
              <w:rPr>
                <w:rFonts w:ascii="Times New Roman" w:hAnsi="Times New Roman" w:cs="Times New Roman"/>
              </w:rPr>
              <w:t>/</w:t>
            </w:r>
            <w:r w:rsidRPr="00754869">
              <w:rPr>
                <w:rFonts w:ascii="Times New Roman" w:hAnsi="Times New Roman" w:cs="Times New Roman"/>
                <w:lang w:val="en-US"/>
              </w:rPr>
              <w:t>L</w:t>
            </w:r>
            <w:r w:rsidRPr="00754869">
              <w:rPr>
                <w:rFonts w:ascii="Times New Roman" w:hAnsi="Times New Roman" w:cs="Times New Roman"/>
              </w:rPr>
              <w:t>, где</w:t>
            </w:r>
          </w:p>
          <w:p w:rsidR="00754869" w:rsidRPr="00754869" w:rsidRDefault="00754869" w:rsidP="00754869">
            <w:pPr>
              <w:spacing w:after="0" w:line="240" w:lineRule="auto"/>
              <w:jc w:val="both"/>
              <w:rPr>
                <w:rFonts w:ascii="Times New Roman" w:hAnsi="Times New Roman" w:cs="Times New Roman"/>
                <w:position w:val="-14"/>
                <w:sz w:val="24"/>
                <w:szCs w:val="24"/>
              </w:rPr>
            </w:pPr>
            <w:r w:rsidRPr="00754869">
              <w:rPr>
                <w:rFonts w:ascii="Times New Roman" w:hAnsi="Times New Roman" w:cs="Times New Roman"/>
                <w:position w:val="-14"/>
                <w:lang w:val="en-US"/>
              </w:rPr>
              <w:t>L</w:t>
            </w:r>
            <w:r w:rsidRPr="00754869">
              <w:rPr>
                <w:rFonts w:ascii="Times New Roman" w:hAnsi="Times New Roman" w:cs="Times New Roman"/>
                <w:position w:val="-14"/>
              </w:rPr>
              <w:t xml:space="preserve"> – объем бюджетных ассигнований по ГАБС за отчетный финансовый год по сводной бюджетной росписи;</w:t>
            </w:r>
          </w:p>
          <w:p w:rsidR="00754869" w:rsidRPr="00754869" w:rsidRDefault="00754869" w:rsidP="00754869">
            <w:pPr>
              <w:spacing w:after="0" w:line="240" w:lineRule="auto"/>
              <w:jc w:val="both"/>
              <w:rPr>
                <w:rFonts w:ascii="Times New Roman" w:hAnsi="Times New Roman" w:cs="Times New Roman"/>
                <w:position w:val="-14"/>
                <w:sz w:val="24"/>
                <w:szCs w:val="24"/>
              </w:rPr>
            </w:pPr>
            <w:r w:rsidRPr="00754869">
              <w:rPr>
                <w:rFonts w:ascii="Times New Roman" w:hAnsi="Times New Roman" w:cs="Times New Roman"/>
                <w:position w:val="-14"/>
                <w:lang w:val="en-US"/>
              </w:rPr>
              <w:t>K</w:t>
            </w:r>
            <w:r w:rsidRPr="00754869">
              <w:rPr>
                <w:rFonts w:ascii="Times New Roman" w:hAnsi="Times New Roman" w:cs="Times New Roman"/>
                <w:position w:val="-14"/>
              </w:rPr>
              <w:t xml:space="preserve"> — кассовое исполнение расходов по ГАБС на конец отчетного года</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exact"/>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proofErr w:type="gramStart"/>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xml:space="preserve"> =</w:t>
            </w:r>
            <w:proofErr w:type="gramEnd"/>
            <w:r w:rsidRPr="00754869">
              <w:rPr>
                <w:rFonts w:ascii="Times New Roman" w:hAnsi="Times New Roman" w:cs="Times New Roman"/>
              </w:rPr>
              <w:t xml:space="preserve"> 1, если Р</w:t>
            </w:r>
            <w:r w:rsidRPr="00754869">
              <w:rPr>
                <w:rFonts w:ascii="Times New Roman" w:hAnsi="Times New Roman" w:cs="Times New Roman"/>
                <w:vertAlign w:val="subscript"/>
              </w:rPr>
              <w:t xml:space="preserve"> </w:t>
            </w:r>
            <w:r w:rsidRPr="00754869">
              <w:rPr>
                <w:rFonts w:ascii="Times New Roman" w:hAnsi="Times New Roman" w:cs="Times New Roman"/>
              </w:rPr>
              <w:t>&gt; 95,</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 0,5, если 90&lt; </w:t>
            </w:r>
            <w:proofErr w:type="gramStart"/>
            <w:r w:rsidRPr="00754869">
              <w:rPr>
                <w:rFonts w:ascii="Times New Roman" w:hAnsi="Times New Roman" w:cs="Times New Roman"/>
              </w:rPr>
              <w:t>Р</w:t>
            </w:r>
            <w:r w:rsidRPr="00754869">
              <w:rPr>
                <w:rFonts w:ascii="Times New Roman" w:hAnsi="Times New Roman" w:cs="Times New Roman"/>
                <w:vertAlign w:val="subscript"/>
              </w:rPr>
              <w:t xml:space="preserve"> .</w:t>
            </w:r>
            <w:proofErr w:type="gramEnd"/>
            <w:r w:rsidRPr="00754869">
              <w:rPr>
                <w:rFonts w:ascii="Times New Roman" w:hAnsi="Times New Roman" w:cs="Times New Roman"/>
              </w:rPr>
              <w:t>≤95,</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w:t>
            </w:r>
            <w:r w:rsidRPr="00754869">
              <w:rPr>
                <w:rFonts w:ascii="Times New Roman" w:hAnsi="Times New Roman" w:cs="Times New Roman"/>
              </w:rPr>
              <w:t xml:space="preserve"> = 0, если Р</w:t>
            </w:r>
            <w:r w:rsidRPr="00754869">
              <w:rPr>
                <w:rFonts w:ascii="Times New Roman" w:hAnsi="Times New Roman" w:cs="Times New Roman"/>
                <w:vertAlign w:val="subscript"/>
              </w:rPr>
              <w:t xml:space="preserve"> </w:t>
            </w:r>
            <w:r w:rsidRPr="00754869">
              <w:rPr>
                <w:rFonts w:ascii="Times New Roman" w:hAnsi="Times New Roman" w:cs="Times New Roman"/>
              </w:rPr>
              <w:t>≤90</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rPr>
              <w:t>показатель позволяет оценить исполнение бюджетных ассигнований (лимитов бюджетных обязательств) на конец отчетного финансового года.</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более 95%.</w:t>
            </w:r>
          </w:p>
        </w:tc>
      </w:tr>
      <w:tr w:rsidR="00754869" w:rsidRPr="00754869" w:rsidTr="008932D2">
        <w:trPr>
          <w:trHeight w:val="282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2.2.</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Полнота использования межбюджетных трансфертов из федерального (краевого) бюджета на конец отчетного периода (</w:t>
            </w:r>
            <w:r w:rsidRPr="00754869">
              <w:rPr>
                <w:rFonts w:ascii="Times New Roman" w:hAnsi="Times New Roman" w:cs="Times New Roman"/>
              </w:rPr>
              <w:t>с учетом отраслевой особенности ГАБС)</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auto"/>
              <w:jc w:val="both"/>
              <w:rPr>
                <w:rFonts w:ascii="Times New Roman" w:hAnsi="Times New Roman" w:cs="Times New Roman"/>
                <w:position w:val="-14"/>
                <w:sz w:val="24"/>
                <w:szCs w:val="24"/>
              </w:rPr>
            </w:pPr>
            <w:r w:rsidRPr="00754869">
              <w:rPr>
                <w:rFonts w:ascii="Times New Roman" w:hAnsi="Times New Roman" w:cs="Times New Roman"/>
                <w:lang w:val="en-US"/>
              </w:rPr>
              <w:t>P</w:t>
            </w:r>
            <w:r w:rsidRPr="00754869">
              <w:rPr>
                <w:rFonts w:ascii="Times New Roman" w:hAnsi="Times New Roman" w:cs="Times New Roman"/>
              </w:rPr>
              <w:t xml:space="preserve"> = 100 x </w:t>
            </w:r>
            <w:r w:rsidRPr="00754869">
              <w:rPr>
                <w:rFonts w:ascii="Times New Roman" w:hAnsi="Times New Roman" w:cs="Times New Roman"/>
                <w:lang w:val="en-US"/>
              </w:rPr>
              <w:t>K</w:t>
            </w:r>
            <w:r w:rsidRPr="00754869">
              <w:rPr>
                <w:rFonts w:ascii="Times New Roman" w:hAnsi="Times New Roman" w:cs="Times New Roman"/>
                <w:vertAlign w:val="subscript"/>
                <w:lang w:val="en-US"/>
              </w:rPr>
              <w:t>T</w:t>
            </w:r>
            <w:r w:rsidRPr="00754869">
              <w:rPr>
                <w:rFonts w:ascii="Times New Roman" w:hAnsi="Times New Roman" w:cs="Times New Roman"/>
              </w:rPr>
              <w:t>/</w:t>
            </w:r>
            <w:r w:rsidRPr="00754869">
              <w:rPr>
                <w:rFonts w:ascii="Times New Roman" w:hAnsi="Times New Roman" w:cs="Times New Roman"/>
                <w:lang w:val="en-US"/>
              </w:rPr>
              <w:t>L</w:t>
            </w:r>
            <w:r w:rsidRPr="00754869">
              <w:rPr>
                <w:rFonts w:ascii="Times New Roman" w:hAnsi="Times New Roman" w:cs="Times New Roman"/>
              </w:rPr>
              <w:t>, где</w:t>
            </w:r>
          </w:p>
          <w:p w:rsidR="00754869" w:rsidRPr="00754869" w:rsidRDefault="00754869" w:rsidP="00754869">
            <w:pPr>
              <w:spacing w:after="0" w:line="240" w:lineRule="auto"/>
              <w:contextualSpacing/>
              <w:jc w:val="both"/>
              <w:rPr>
                <w:rFonts w:ascii="Times New Roman" w:hAnsi="Times New Roman" w:cs="Times New Roman"/>
                <w:position w:val="-14"/>
                <w:sz w:val="24"/>
                <w:szCs w:val="24"/>
              </w:rPr>
            </w:pPr>
            <w:proofErr w:type="spellStart"/>
            <w:r w:rsidRPr="00754869">
              <w:rPr>
                <w:rFonts w:ascii="Times New Roman" w:hAnsi="Times New Roman" w:cs="Times New Roman"/>
                <w:position w:val="-14"/>
              </w:rPr>
              <w:t>Кт</w:t>
            </w:r>
            <w:proofErr w:type="spellEnd"/>
            <w:r w:rsidRPr="00754869">
              <w:rPr>
                <w:rFonts w:ascii="Times New Roman" w:hAnsi="Times New Roman" w:cs="Times New Roman"/>
                <w:position w:val="-14"/>
              </w:rPr>
              <w:t xml:space="preserve"> — кассовое исполнение расходов на конец отчетного года по межбюджетным трансфертам из федерального (краевого) бюджета по ГАБС;</w:t>
            </w:r>
          </w:p>
          <w:p w:rsidR="00754869" w:rsidRPr="00754869" w:rsidRDefault="00754869" w:rsidP="00754869">
            <w:pPr>
              <w:spacing w:after="0" w:line="240" w:lineRule="auto"/>
              <w:contextualSpacing/>
              <w:jc w:val="both"/>
              <w:rPr>
                <w:rFonts w:ascii="Times New Roman" w:hAnsi="Times New Roman" w:cs="Times New Roman"/>
                <w:position w:val="-14"/>
                <w:sz w:val="24"/>
                <w:szCs w:val="24"/>
              </w:rPr>
            </w:pPr>
            <w:r w:rsidRPr="00754869">
              <w:rPr>
                <w:rFonts w:ascii="Times New Roman" w:hAnsi="Times New Roman" w:cs="Times New Roman"/>
                <w:position w:val="-14"/>
                <w:lang w:val="en-US"/>
              </w:rPr>
              <w:t>L</w:t>
            </w:r>
            <w:r w:rsidRPr="00754869">
              <w:rPr>
                <w:rFonts w:ascii="Times New Roman" w:hAnsi="Times New Roman" w:cs="Times New Roman"/>
                <w:position w:val="-14"/>
              </w:rPr>
              <w:t>т — объем межбюджетных трансфертов из федерального (краевого) бюджета в соответствии со сводной бюджетной росписью бюджета на конец отчетного года по ГАБС</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proofErr w:type="gramStart"/>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xml:space="preserve"> =</w:t>
            </w:r>
            <w:proofErr w:type="gramEnd"/>
            <w:r w:rsidRPr="00754869">
              <w:rPr>
                <w:rFonts w:ascii="Times New Roman" w:hAnsi="Times New Roman" w:cs="Times New Roman"/>
              </w:rPr>
              <w:t xml:space="preserve"> 1, если Р</w:t>
            </w:r>
            <w:r w:rsidRPr="00754869">
              <w:rPr>
                <w:rFonts w:ascii="Times New Roman" w:hAnsi="Times New Roman" w:cs="Times New Roman"/>
                <w:vertAlign w:val="subscript"/>
              </w:rPr>
              <w:t xml:space="preserve"> </w:t>
            </w:r>
            <w:r w:rsidRPr="00754869">
              <w:rPr>
                <w:rFonts w:ascii="Times New Roman" w:hAnsi="Times New Roman" w:cs="Times New Roman"/>
              </w:rPr>
              <w:t>&gt; 95,</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 xml:space="preserve"> = 0,5, если 90 &lt; Р</w:t>
            </w:r>
            <w:r w:rsidRPr="00754869">
              <w:rPr>
                <w:rFonts w:ascii="Times New Roman" w:hAnsi="Times New Roman" w:cs="Times New Roman"/>
                <w:vertAlign w:val="subscript"/>
              </w:rPr>
              <w:t xml:space="preserve"> </w:t>
            </w:r>
            <w:r w:rsidRPr="00754869">
              <w:rPr>
                <w:rFonts w:ascii="Times New Roman" w:hAnsi="Times New Roman" w:cs="Times New Roman"/>
              </w:rPr>
              <w:t>&lt;95,</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w:t>
            </w:r>
            <w:r w:rsidRPr="00754869">
              <w:rPr>
                <w:rFonts w:ascii="Times New Roman" w:hAnsi="Times New Roman" w:cs="Times New Roman"/>
              </w:rPr>
              <w:t xml:space="preserve"> = 0, если </w:t>
            </w:r>
            <w:proofErr w:type="gramStart"/>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w:t>
            </w:r>
            <w:proofErr w:type="gramEnd"/>
            <w:r w:rsidRPr="00754869">
              <w:rPr>
                <w:rFonts w:ascii="Times New Roman" w:hAnsi="Times New Roman" w:cs="Times New Roman"/>
              </w:rPr>
              <w:t>90</w:t>
            </w:r>
          </w:p>
          <w:p w:rsidR="00754869" w:rsidRPr="00754869" w:rsidRDefault="00754869" w:rsidP="00754869">
            <w:pPr>
              <w:spacing w:before="120" w:after="0" w:line="240" w:lineRule="auto"/>
              <w:rPr>
                <w:rFonts w:ascii="Times New Roman" w:hAnsi="Times New Roman" w:cs="Times New Roman"/>
                <w:snapToGrid w:val="0"/>
                <w:position w:val="-66"/>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показатель позволяет оценить полноту и своевременность использования </w:t>
            </w:r>
            <w:r w:rsidRPr="00754869">
              <w:rPr>
                <w:rFonts w:ascii="Times New Roman" w:hAnsi="Times New Roman" w:cs="Times New Roman"/>
                <w:snapToGrid w:val="0"/>
              </w:rPr>
              <w:t>межбюджетных трансфертов из федерального (краевого) бюджета</w:t>
            </w:r>
            <w:r w:rsidRPr="00754869">
              <w:rPr>
                <w:rFonts w:ascii="Times New Roman" w:hAnsi="Times New Roman" w:cs="Times New Roman"/>
              </w:rPr>
              <w:t xml:space="preserve"> на конец отчетного финансового года.</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более 95%.</w:t>
            </w:r>
          </w:p>
        </w:tc>
      </w:tr>
      <w:tr w:rsidR="00754869" w:rsidRPr="00754869" w:rsidTr="008932D2">
        <w:trPr>
          <w:trHeight w:val="2458"/>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2.3.</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Эффективность управления просроченной кредиторской задолженностью </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P = 100 x K / E, где</w:t>
            </w:r>
          </w:p>
          <w:p w:rsidR="00754869" w:rsidRPr="00754869" w:rsidRDefault="00754869" w:rsidP="00754869">
            <w:pPr>
              <w:autoSpaceDE w:val="0"/>
              <w:autoSpaceDN w:val="0"/>
              <w:adjustRightInd w:val="0"/>
              <w:spacing w:after="0" w:line="240" w:lineRule="auto"/>
              <w:jc w:val="both"/>
              <w:outlineLvl w:val="0"/>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K - объем просроченной кредиторской задолженности по состоянию на 1 января года, следующего за отчетным;</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E - кассовое исполнение расходов </w:t>
            </w:r>
            <w:r w:rsidRPr="00754869">
              <w:rPr>
                <w:rFonts w:ascii="Times New Roman" w:hAnsi="Times New Roman" w:cs="Times New Roman"/>
                <w:snapToGrid w:val="0"/>
                <w:color w:val="000000"/>
              </w:rPr>
              <w:t>ГАБС</w:t>
            </w:r>
            <w:r w:rsidRPr="00754869">
              <w:rPr>
                <w:rFonts w:ascii="Times New Roman" w:hAnsi="Times New Roman" w:cs="Times New Roman"/>
                <w:bCs/>
              </w:rPr>
              <w:t xml:space="preserve"> </w:t>
            </w:r>
            <w:r w:rsidRPr="00754869">
              <w:rPr>
                <w:rFonts w:ascii="Times New Roman" w:hAnsi="Times New Roman" w:cs="Times New Roman"/>
              </w:rPr>
              <w:t>в отчетном финансовом году</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15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E(P) = 1, если P </w:t>
            </w:r>
            <w:proofErr w:type="gramStart"/>
            <w:r w:rsidRPr="00754869">
              <w:rPr>
                <w:rFonts w:ascii="Times New Roman" w:hAnsi="Times New Roman" w:cs="Times New Roman"/>
              </w:rPr>
              <w:t>&lt; 0</w:t>
            </w:r>
            <w:proofErr w:type="gramEnd"/>
            <w:r w:rsidRPr="00754869">
              <w:rPr>
                <w:rFonts w:ascii="Times New Roman" w:hAnsi="Times New Roman" w:cs="Times New Roman"/>
              </w:rPr>
              <w:t>,5,</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E(P) = 0,6, если 0,5 ≤ P </w:t>
            </w:r>
            <w:proofErr w:type="gramStart"/>
            <w:r w:rsidRPr="00754869">
              <w:rPr>
                <w:rFonts w:ascii="Times New Roman" w:hAnsi="Times New Roman" w:cs="Times New Roman"/>
              </w:rPr>
              <w:t>&lt; 10</w:t>
            </w:r>
            <w:proofErr w:type="gramEnd"/>
            <w:r w:rsidRPr="00754869">
              <w:rPr>
                <w:rFonts w:ascii="Times New Roman" w:hAnsi="Times New Roman" w:cs="Times New Roman"/>
              </w:rPr>
              <w:t>,</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E(P) = 0,3, если 10 ≤ P </w:t>
            </w:r>
            <w:proofErr w:type="gramStart"/>
            <w:r w:rsidRPr="00754869">
              <w:rPr>
                <w:rFonts w:ascii="Times New Roman" w:hAnsi="Times New Roman" w:cs="Times New Roman"/>
              </w:rPr>
              <w:t>&lt; 20</w:t>
            </w:r>
            <w:proofErr w:type="gramEnd"/>
            <w:r w:rsidRPr="00754869">
              <w:rPr>
                <w:rFonts w:ascii="Times New Roman" w:hAnsi="Times New Roman" w:cs="Times New Roman"/>
              </w:rPr>
              <w:t>,</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E(P) = 0, если P ≥ 20</w:t>
            </w:r>
          </w:p>
          <w:p w:rsidR="00754869" w:rsidRPr="00754869" w:rsidRDefault="00754869" w:rsidP="00754869">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показатель позволяет оценить деятельность ГАБС по недопущению возникновения кредиторской задолженности.</w:t>
            </w:r>
          </w:p>
          <w:p w:rsidR="00754869" w:rsidRPr="00754869" w:rsidRDefault="00754869" w:rsidP="00754869">
            <w:pPr>
              <w:spacing w:before="120" w:after="0" w:line="240" w:lineRule="exact"/>
              <w:jc w:val="both"/>
              <w:rPr>
                <w:rFonts w:ascii="Times New Roman" w:hAnsi="Times New Roman" w:cs="Times New Roman"/>
                <w:sz w:val="24"/>
                <w:szCs w:val="24"/>
              </w:rPr>
            </w:pPr>
          </w:p>
        </w:tc>
      </w:tr>
      <w:tr w:rsidR="00754869" w:rsidRPr="00754869" w:rsidTr="008932D2">
        <w:trPr>
          <w:trHeight w:val="40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color w:val="000000"/>
                <w:sz w:val="24"/>
                <w:szCs w:val="24"/>
              </w:rPr>
            </w:pPr>
            <w:r w:rsidRPr="00754869">
              <w:rPr>
                <w:rFonts w:ascii="Times New Roman" w:hAnsi="Times New Roman" w:cs="Times New Roman"/>
                <w:snapToGrid w:val="0"/>
                <w:color w:val="000000"/>
              </w:rPr>
              <w:t>2.4.</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rPr>
                <w:rFonts w:ascii="Times New Roman" w:hAnsi="Times New Roman" w:cs="Times New Roman"/>
                <w:snapToGrid w:val="0"/>
                <w:color w:val="000000"/>
                <w:sz w:val="24"/>
                <w:szCs w:val="24"/>
              </w:rPr>
            </w:pPr>
          </w:p>
          <w:p w:rsidR="00754869" w:rsidRPr="00754869" w:rsidRDefault="00754869" w:rsidP="00754869">
            <w:pPr>
              <w:spacing w:after="0" w:line="240" w:lineRule="auto"/>
              <w:jc w:val="both"/>
              <w:rPr>
                <w:rFonts w:ascii="Times New Roman" w:hAnsi="Times New Roman" w:cs="Times New Roman"/>
                <w:color w:val="000000"/>
                <w:sz w:val="24"/>
                <w:szCs w:val="24"/>
              </w:rPr>
            </w:pPr>
            <w:r w:rsidRPr="00754869">
              <w:rPr>
                <w:rFonts w:ascii="Times New Roman" w:hAnsi="Times New Roman" w:cs="Times New Roman"/>
                <w:snapToGrid w:val="0"/>
                <w:color w:val="000000"/>
              </w:rPr>
              <w:t>У</w:t>
            </w:r>
            <w:r w:rsidRPr="00754869">
              <w:rPr>
                <w:rFonts w:ascii="Times New Roman" w:hAnsi="Times New Roman" w:cs="Times New Roman"/>
                <w:color w:val="000000"/>
              </w:rPr>
              <w:t>правление просроченной дебиторской задолженностью</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P = Д </w:t>
            </w:r>
            <w:r w:rsidRPr="00754869">
              <w:rPr>
                <w:rFonts w:ascii="Times New Roman" w:hAnsi="Times New Roman" w:cs="Times New Roman"/>
                <w:vertAlign w:val="subscript"/>
                <w:lang w:val="en-US"/>
              </w:rPr>
              <w:t>r</w:t>
            </w:r>
            <w:proofErr w:type="gramStart"/>
            <w:r w:rsidRPr="00754869">
              <w:rPr>
                <w:rFonts w:ascii="Times New Roman" w:hAnsi="Times New Roman" w:cs="Times New Roman"/>
              </w:rPr>
              <w:t>/  Д</w:t>
            </w:r>
            <w:proofErr w:type="gramEnd"/>
            <w:r w:rsidRPr="00754869">
              <w:rPr>
                <w:rFonts w:ascii="Times New Roman" w:hAnsi="Times New Roman" w:cs="Times New Roman"/>
              </w:rPr>
              <w:t xml:space="preserve"> </w:t>
            </w:r>
            <w:r w:rsidRPr="00754869">
              <w:rPr>
                <w:rFonts w:ascii="Times New Roman" w:hAnsi="Times New Roman" w:cs="Times New Roman"/>
                <w:vertAlign w:val="subscript"/>
                <w:lang w:val="en-US"/>
              </w:rPr>
              <w:t>r</w:t>
            </w:r>
            <w:r w:rsidRPr="00754869">
              <w:rPr>
                <w:rFonts w:ascii="Times New Roman" w:hAnsi="Times New Roman" w:cs="Times New Roman"/>
                <w:vertAlign w:val="subscript"/>
              </w:rPr>
              <w:t>1</w:t>
            </w:r>
            <w:r w:rsidRPr="00754869">
              <w:rPr>
                <w:rFonts w:ascii="Times New Roman" w:hAnsi="Times New Roman" w:cs="Times New Roman"/>
              </w:rPr>
              <w:t xml:space="preserve"> x 100</w:t>
            </w:r>
            <w:r w:rsidRPr="00754869">
              <w:rPr>
                <w:rFonts w:ascii="Times New Roman" w:hAnsi="Times New Roman" w:cs="Times New Roman"/>
                <w:vertAlign w:val="subscript"/>
              </w:rPr>
              <w:t xml:space="preserve">, </w:t>
            </w:r>
            <w:r w:rsidRPr="00754869">
              <w:rPr>
                <w:rFonts w:ascii="Times New Roman" w:hAnsi="Times New Roman" w:cs="Times New Roman"/>
              </w:rPr>
              <w:t>где</w:t>
            </w:r>
          </w:p>
          <w:p w:rsidR="00754869" w:rsidRPr="00754869" w:rsidRDefault="00754869" w:rsidP="00754869">
            <w:pPr>
              <w:spacing w:after="0" w:line="240" w:lineRule="auto"/>
              <w:jc w:val="both"/>
              <w:rPr>
                <w:rFonts w:ascii="Times New Roman" w:hAnsi="Times New Roman" w:cs="Times New Roman"/>
                <w:sz w:val="24"/>
                <w:szCs w:val="24"/>
              </w:rPr>
            </w:pPr>
          </w:p>
          <w:p w:rsidR="00754869" w:rsidRPr="00754869" w:rsidRDefault="008900CE" w:rsidP="00754869">
            <w:pPr>
              <w:spacing w:after="0" w:line="240" w:lineRule="auto"/>
              <w:jc w:val="both"/>
              <w:rPr>
                <w:rFonts w:ascii="Times New Roman" w:hAnsi="Times New Roman" w:cs="Times New Roman"/>
                <w:sz w:val="24"/>
                <w:szCs w:val="24"/>
              </w:rPr>
            </w:pPr>
            <w:proofErr w:type="spellStart"/>
            <w:r>
              <w:rPr>
                <w:rFonts w:ascii="Times New Roman" w:hAnsi="Times New Roman" w:cs="Times New Roman"/>
              </w:rPr>
              <w:t>Д</w:t>
            </w:r>
            <w:r w:rsidR="00754869" w:rsidRPr="00754869">
              <w:rPr>
                <w:rFonts w:ascii="Times New Roman" w:hAnsi="Times New Roman" w:cs="Times New Roman"/>
              </w:rPr>
              <w:t>r</w:t>
            </w:r>
            <w:proofErr w:type="spellEnd"/>
            <w:r w:rsidR="00754869" w:rsidRPr="00754869">
              <w:rPr>
                <w:rFonts w:ascii="Times New Roman" w:hAnsi="Times New Roman" w:cs="Times New Roman"/>
              </w:rPr>
              <w:t xml:space="preserve"> – объем просроченной дебиторской задолженности ГАБС на конец отчетного периода;</w:t>
            </w:r>
          </w:p>
          <w:p w:rsidR="00754869" w:rsidRPr="00754869" w:rsidRDefault="008900CE" w:rsidP="00754869">
            <w:pPr>
              <w:spacing w:after="0" w:line="240" w:lineRule="auto"/>
              <w:jc w:val="both"/>
              <w:rPr>
                <w:rFonts w:ascii="Times New Roman" w:hAnsi="Times New Roman" w:cs="Times New Roman"/>
                <w:sz w:val="24"/>
                <w:szCs w:val="24"/>
                <w:highlight w:val="yellow"/>
              </w:rPr>
            </w:pPr>
            <w:r>
              <w:rPr>
                <w:rFonts w:ascii="Times New Roman" w:hAnsi="Times New Roman" w:cs="Times New Roman"/>
              </w:rPr>
              <w:t>Д</w:t>
            </w:r>
            <w:r w:rsidR="00754869" w:rsidRPr="00754869">
              <w:rPr>
                <w:rFonts w:ascii="Times New Roman" w:hAnsi="Times New Roman" w:cs="Times New Roman"/>
              </w:rPr>
              <w:t>r</w:t>
            </w:r>
            <w:r w:rsidR="00754869" w:rsidRPr="00754869">
              <w:rPr>
                <w:rFonts w:ascii="Times New Roman" w:hAnsi="Times New Roman" w:cs="Times New Roman"/>
                <w:vertAlign w:val="subscript"/>
              </w:rPr>
              <w:t>1</w:t>
            </w:r>
            <w:r w:rsidR="00754869" w:rsidRPr="00754869">
              <w:rPr>
                <w:rFonts w:ascii="Times New Roman" w:hAnsi="Times New Roman" w:cs="Times New Roman"/>
              </w:rPr>
              <w:t xml:space="preserve"> – объем просроченной дебиторской задолженности ГАБС на начало отчетного финансового года</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25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auto"/>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bCs/>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 xml:space="preserve">0, если </w:t>
            </w:r>
            <w:r w:rsidRPr="00754869">
              <w:rPr>
                <w:rFonts w:ascii="Times New Roman" w:hAnsi="Times New Roman" w:cs="Times New Roman"/>
                <w:bCs/>
                <w:lang w:val="en-US"/>
              </w:rPr>
              <w:t>P</w:t>
            </w:r>
            <w:r w:rsidRPr="00754869">
              <w:rPr>
                <w:rFonts w:ascii="Times New Roman" w:hAnsi="Times New Roman" w:cs="Times New Roman"/>
                <w:bCs/>
              </w:rPr>
              <w:t xml:space="preserve"> &gt; 90,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proofErr w:type="gramStart"/>
            <w:r w:rsidRPr="00754869">
              <w:rPr>
                <w:rFonts w:ascii="Times New Roman" w:hAnsi="Times New Roman" w:cs="Times New Roman"/>
                <w:lang w:val="en-US"/>
              </w:rPr>
              <w:t>P</w:t>
            </w:r>
            <w:r w:rsidRPr="00754869">
              <w:rPr>
                <w:rFonts w:ascii="Times New Roman" w:hAnsi="Times New Roman" w:cs="Times New Roman"/>
                <w:bCs/>
                <w:vertAlign w:val="subscript"/>
              </w:rPr>
              <w:t>)  =</w:t>
            </w:r>
            <w:proofErr w:type="gramEnd"/>
            <w:r w:rsidRPr="00754869">
              <w:rPr>
                <w:rFonts w:ascii="Times New Roman" w:hAnsi="Times New Roman" w:cs="Times New Roman"/>
                <w:bCs/>
              </w:rPr>
              <w:t>1, если 70&lt;</w:t>
            </w:r>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 xml:space="preserve">≤ 90,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2, если 50&lt;</w:t>
            </w:r>
            <w:proofErr w:type="gramStart"/>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w:t>
            </w:r>
            <w:proofErr w:type="gramEnd"/>
            <w:r w:rsidRPr="00754869">
              <w:rPr>
                <w:rFonts w:ascii="Times New Roman" w:hAnsi="Times New Roman" w:cs="Times New Roman"/>
              </w:rPr>
              <w:t xml:space="preserve"> 70,</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3, если 30&lt;</w:t>
            </w:r>
            <w:proofErr w:type="gramStart"/>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w:t>
            </w:r>
            <w:proofErr w:type="gramEnd"/>
            <w:r w:rsidRPr="00754869">
              <w:rPr>
                <w:rFonts w:ascii="Times New Roman" w:hAnsi="Times New Roman" w:cs="Times New Roman"/>
              </w:rPr>
              <w:t xml:space="preserve"> 50,</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bCs/>
                <w:vertAlign w:val="subscript"/>
              </w:rPr>
              <w:t xml:space="preserve">) = </w:t>
            </w:r>
            <w:r w:rsidRPr="00754869">
              <w:rPr>
                <w:rFonts w:ascii="Times New Roman" w:hAnsi="Times New Roman" w:cs="Times New Roman"/>
                <w:bCs/>
              </w:rPr>
              <w:t>4, если 0&lt;</w:t>
            </w:r>
            <w:proofErr w:type="gramStart"/>
            <w:r w:rsidRPr="00754869">
              <w:rPr>
                <w:rFonts w:ascii="Times New Roman" w:hAnsi="Times New Roman" w:cs="Times New Roman"/>
                <w:bCs/>
                <w:lang w:val="en-US"/>
              </w:rPr>
              <w:t>P</w:t>
            </w:r>
            <w:r w:rsidRPr="00754869">
              <w:rPr>
                <w:rFonts w:ascii="Times New Roman" w:hAnsi="Times New Roman" w:cs="Times New Roman"/>
                <w:bCs/>
              </w:rPr>
              <w:t xml:space="preserve"> </w:t>
            </w:r>
            <w:r w:rsidRPr="00754869">
              <w:rPr>
                <w:rFonts w:ascii="Times New Roman" w:hAnsi="Times New Roman" w:cs="Times New Roman"/>
                <w:bCs/>
                <w:vertAlign w:val="subscript"/>
              </w:rPr>
              <w:t xml:space="preserve"> </w:t>
            </w:r>
            <w:r w:rsidRPr="00754869">
              <w:rPr>
                <w:rFonts w:ascii="Times New Roman" w:hAnsi="Times New Roman" w:cs="Times New Roman"/>
              </w:rPr>
              <w:t>≤</w:t>
            </w:r>
            <w:proofErr w:type="gramEnd"/>
            <w:r w:rsidRPr="00754869">
              <w:rPr>
                <w:rFonts w:ascii="Times New Roman" w:hAnsi="Times New Roman" w:cs="Times New Roman"/>
              </w:rPr>
              <w:t xml:space="preserve"> 30,</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(P) = 5, если P=0</w:t>
            </w:r>
          </w:p>
          <w:p w:rsidR="00754869" w:rsidRPr="00754869" w:rsidRDefault="00754869" w:rsidP="00754869">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показатель позволяет оценить деятельность ГАБС по уменьшению просроченной дебиторской задолженности.</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0.</w:t>
            </w:r>
          </w:p>
          <w:p w:rsidR="00754869" w:rsidRPr="00754869" w:rsidRDefault="00754869" w:rsidP="00754869">
            <w:pPr>
              <w:spacing w:before="120" w:after="0" w:line="240" w:lineRule="exact"/>
              <w:jc w:val="both"/>
              <w:rPr>
                <w:rFonts w:ascii="Times New Roman" w:hAnsi="Times New Roman" w:cs="Times New Roman"/>
                <w:sz w:val="24"/>
                <w:szCs w:val="24"/>
              </w:rPr>
            </w:pPr>
          </w:p>
        </w:tc>
      </w:tr>
      <w:tr w:rsidR="00754869" w:rsidRPr="00754869" w:rsidTr="008932D2">
        <w:trPr>
          <w:trHeight w:val="845"/>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center"/>
              <w:rPr>
                <w:rFonts w:ascii="Times New Roman" w:hAnsi="Times New Roman" w:cs="Times New Roman"/>
                <w:snapToGrid w:val="0"/>
                <w:sz w:val="24"/>
                <w:szCs w:val="24"/>
              </w:rPr>
            </w:pPr>
            <w:r w:rsidRPr="00754869">
              <w:rPr>
                <w:rFonts w:ascii="Times New Roman" w:hAnsi="Times New Roman" w:cs="Times New Roman"/>
                <w:snapToGrid w:val="0"/>
              </w:rPr>
              <w:t>2.5.</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Несоблюдение правил планирования закупок </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P = Q</w:t>
            </w:r>
            <w:r w:rsidRPr="00754869">
              <w:rPr>
                <w:rFonts w:ascii="Times New Roman" w:hAnsi="Times New Roman" w:cs="Times New Roman"/>
                <w:lang w:val="en-US"/>
              </w:rPr>
              <w:t>z</w:t>
            </w:r>
            <w:r w:rsidRPr="00754869">
              <w:rPr>
                <w:rFonts w:ascii="Times New Roman" w:hAnsi="Times New Roman" w:cs="Times New Roman"/>
              </w:rPr>
              <w:t>, где</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Q</w:t>
            </w:r>
            <w:r w:rsidRPr="00754869">
              <w:rPr>
                <w:rFonts w:ascii="Times New Roman" w:hAnsi="Times New Roman" w:cs="Times New Roman"/>
                <w:lang w:val="en-US"/>
              </w:rPr>
              <w:t>z</w:t>
            </w:r>
            <w:r w:rsidRPr="00754869">
              <w:rPr>
                <w:rFonts w:ascii="Times New Roman" w:hAnsi="Times New Roman" w:cs="Times New Roman"/>
              </w:rPr>
              <w:t xml:space="preserve"> – количество фактов несоблюдения главным администратором правил планирования закупок на финансовое обеспечение деятельности ГАБС</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E(</w:t>
            </w:r>
            <w:r w:rsidRPr="00754869">
              <w:rPr>
                <w:rFonts w:ascii="Times New Roman" w:hAnsi="Times New Roman" w:cs="Times New Roman"/>
              </w:rPr>
              <w:fldChar w:fldCharType="begin"/>
            </w:r>
            <w:r w:rsidRPr="00754869">
              <w:rPr>
                <w:rFonts w:ascii="Times New Roman" w:hAnsi="Times New Roman" w:cs="Times New Roman"/>
              </w:rPr>
              <w:instrText xml:space="preserve"> QUOTE </w:instrText>
            </w:r>
            <w:r w:rsidR="00037924">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efaultTabStop w:val=&quot;708&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35E03&quot;/&gt;&lt;wsp:rsid wsp:val=&quot;000013D3&quot;/&gt;&lt;wsp:rsid wsp:val=&quot;000104D5&quot;/&gt;&lt;wsp:rsid wsp:val=&quot;00016AD6&quot;/&gt;&lt;wsp:rsid wsp:val=&quot;00016EA2&quot;/&gt;&lt;wsp:rsid wsp:val=&quot;00036B93&quot;/&gt;&lt;wsp:rsid wsp:val=&quot;0005565D&quot;/&gt;&lt;wsp:rsid wsp:val=&quot;00063F85&quot;/&gt;&lt;wsp:rsid wsp:val=&quot;00082458&quot;/&gt;&lt;wsp:rsid wsp:val=&quot;00087EF8&quot;/&gt;&lt;wsp:rsid wsp:val=&quot;00095E64&quot;/&gt;&lt;wsp:rsid wsp:val=&quot;000A2D8F&quot;/&gt;&lt;wsp:rsid wsp:val=&quot;000A38F1&quot;/&gt;&lt;wsp:rsid wsp:val=&quot;000B03CA&quot;/&gt;&lt;wsp:rsid wsp:val=&quot;000B2510&quot;/&gt;&lt;wsp:rsid wsp:val=&quot;000C094F&quot;/&gt;&lt;wsp:rsid wsp:val=&quot;000C286F&quot;/&gt;&lt;wsp:rsid wsp:val=&quot;000D27F8&quot;/&gt;&lt;wsp:rsid wsp:val=&quot;000D7F93&quot;/&gt;&lt;wsp:rsid wsp:val=&quot;000E7F40&quot;/&gt;&lt;wsp:rsid wsp:val=&quot;0011624E&quot;/&gt;&lt;wsp:rsid wsp:val=&quot;00121E46&quot;/&gt;&lt;wsp:rsid wsp:val=&quot;001243A8&quot;/&gt;&lt;wsp:rsid wsp:val=&quot;001270DA&quot;/&gt;&lt;wsp:rsid wsp:val=&quot;00135B40&quot;/&gt;&lt;wsp:rsid wsp:val=&quot;001436F0&quot;/&gt;&lt;wsp:rsid wsp:val=&quot;001439AB&quot;/&gt;&lt;wsp:rsid wsp:val=&quot;00152E4E&quot;/&gt;&lt;wsp:rsid wsp:val=&quot;001618CD&quot;/&gt;&lt;wsp:rsid wsp:val=&quot;00162268&quot;/&gt;&lt;wsp:rsid wsp:val=&quot;00183051&quot;/&gt;&lt;wsp:rsid wsp:val=&quot;00197730&quot;/&gt;&lt;wsp:rsid wsp:val=&quot;001C5203&quot;/&gt;&lt;wsp:rsid wsp:val=&quot;001F3465&quot;/&gt;&lt;wsp:rsid wsp:val=&quot;001F707F&quot;/&gt;&lt;wsp:rsid wsp:val=&quot;00205DF2&quot;/&gt;&lt;wsp:rsid wsp:val=&quot;00220CDB&quot;/&gt;&lt;wsp:rsid wsp:val=&quot;00225A67&quot;/&gt;&lt;wsp:rsid wsp:val=&quot;00235CCF&quot;/&gt;&lt;wsp:rsid wsp:val=&quot;00236DA5&quot;/&gt;&lt;wsp:rsid wsp:val=&quot;00261D24&quot;/&gt;&lt;wsp:rsid wsp:val=&quot;00263703&quot;/&gt;&lt;wsp:rsid wsp:val=&quot;0027369E&quot;/&gt;&lt;wsp:rsid wsp:val=&quot;00295109&quot;/&gt;&lt;wsp:rsid wsp:val=&quot;002976E2&quot;/&gt;&lt;wsp:rsid wsp:val=&quot;002B7CE3&quot;/&gt;&lt;wsp:rsid wsp:val=&quot;002D1BF1&quot;/&gt;&lt;wsp:rsid wsp:val=&quot;002E420F&quot;/&gt;&lt;wsp:rsid wsp:val=&quot;002F77D5&quot;/&gt;&lt;wsp:rsid wsp:val=&quot;0030643B&quot;/&gt;&lt;wsp:rsid wsp:val=&quot;00314436&quot;/&gt;&lt;wsp:rsid wsp:val=&quot;00317AB1&quot;/&gt;&lt;wsp:rsid wsp:val=&quot;00322F1B&quot;/&gt;&lt;wsp:rsid wsp:val=&quot;00371A8E&quot;/&gt;&lt;wsp:rsid wsp:val=&quot;003841EC&quot;/&gt;&lt;wsp:rsid wsp:val=&quot;00395777&quot;/&gt;&lt;wsp:rsid wsp:val=&quot;003A2F30&quot;/&gt;&lt;wsp:rsid wsp:val=&quot;003A6305&quot;/&gt;&lt;wsp:rsid wsp:val=&quot;003C7956&quot;/&gt;&lt;wsp:rsid wsp:val=&quot;003E21DD&quot;/&gt;&lt;wsp:rsid wsp:val=&quot;003E4E5C&quot;/&gt;&lt;wsp:rsid wsp:val=&quot;003F13FA&quot;/&gt;&lt;wsp:rsid wsp:val=&quot;003F23B3&quot;/&gt;&lt;wsp:rsid wsp:val=&quot;00412E30&quot;/&gt;&lt;wsp:rsid wsp:val=&quot;00415A32&quot;/&gt;&lt;wsp:rsid wsp:val=&quot;00424095&quot;/&gt;&lt;wsp:rsid wsp:val=&quot;00426831&quot;/&gt;&lt;wsp:rsid wsp:val=&quot;00440C27&quot;/&gt;&lt;wsp:rsid wsp:val=&quot;004513CD&quot;/&gt;&lt;wsp:rsid wsp:val=&quot;00476DB0&quot;/&gt;&lt;wsp:rsid wsp:val=&quot;004913A9&quot;/&gt;&lt;wsp:rsid wsp:val=&quot;004A22BF&quot;/&gt;&lt;wsp:rsid wsp:val=&quot;004A2EF0&quot;/&gt;&lt;wsp:rsid wsp:val=&quot;004C710B&quot;/&gt;&lt;wsp:rsid wsp:val=&quot;004C7237&quot;/&gt;&lt;wsp:rsid wsp:val=&quot;004D207B&quot;/&gt;&lt;wsp:rsid wsp:val=&quot;004E5F21&quot;/&gt;&lt;wsp:rsid wsp:val=&quot;004F7AAE&quot;/&gt;&lt;wsp:rsid wsp:val=&quot;00501912&quot;/&gt;&lt;wsp:rsid wsp:val=&quot;0051062F&quot;/&gt;&lt;wsp:rsid wsp:val=&quot;00511435&quot;/&gt;&lt;wsp:rsid wsp:val=&quot;00514082&quot;/&gt;&lt;wsp:rsid wsp:val=&quot;0052775D&quot;/&gt;&lt;wsp:rsid wsp:val=&quot;0054660D&quot;/&gt;&lt;wsp:rsid wsp:val=&quot;005630C1&quot;/&gt;&lt;wsp:rsid wsp:val=&quot;00583584&quot;/&gt;&lt;wsp:rsid wsp:val=&quot;005A5F08&quot;/&gt;&lt;wsp:rsid wsp:val=&quot;005A62EA&quot;/&gt;&lt;wsp:rsid wsp:val=&quot;005A7D68&quot;/&gt;&lt;wsp:rsid wsp:val=&quot;005D6C6C&quot;/&gt;&lt;wsp:rsid wsp:val=&quot;005D76AD&quot;/&gt;&lt;wsp:rsid wsp:val=&quot;005F39AE&quot;/&gt;&lt;wsp:rsid wsp:val=&quot;006027B6&quot;/&gt;&lt;wsp:rsid wsp:val=&quot;0060511E&quot;/&gt;&lt;wsp:rsid wsp:val=&quot;00625ACB&quot;/&gt;&lt;wsp:rsid wsp:val=&quot;00630665&quot;/&gt;&lt;wsp:rsid wsp:val=&quot;0064648C&quot;/&gt;&lt;wsp:rsid wsp:val=&quot;006A3A24&quot;/&gt;&lt;wsp:rsid wsp:val=&quot;006A6CB8&quot;/&gt;&lt;wsp:rsid wsp:val=&quot;006C15F2&quot;/&gt;&lt;wsp:rsid wsp:val=&quot;006C1C79&quot;/&gt;&lt;wsp:rsid wsp:val=&quot;006C2BFF&quot;/&gt;&lt;wsp:rsid wsp:val=&quot;006C3872&quot;/&gt;&lt;wsp:rsid wsp:val=&quot;006C4C56&quot;/&gt;&lt;wsp:rsid wsp:val=&quot;006E6280&quot;/&gt;&lt;wsp:rsid wsp:val=&quot;006E678E&quot;/&gt;&lt;wsp:rsid wsp:val=&quot;006F3365&quot;/&gt;&lt;wsp:rsid wsp:val=&quot;006F6FD9&quot;/&gt;&lt;wsp:rsid wsp:val=&quot;00702C68&quot;/&gt;&lt;wsp:rsid wsp:val=&quot;00712A4B&quot;/&gt;&lt;wsp:rsid wsp:val=&quot;00721DE9&quot;/&gt;&lt;wsp:rsid wsp:val=&quot;00732774&quot;/&gt;&lt;wsp:rsid wsp:val=&quot;00735BED&quot;/&gt;&lt;wsp:rsid wsp:val=&quot;00752EC3&quot;/&gt;&lt;wsp:rsid wsp:val=&quot;00753F6A&quot;/&gt;&lt;wsp:rsid wsp:val=&quot;00754869&quot;/&gt;&lt;wsp:rsid wsp:val=&quot;00755F8B&quot;/&gt;&lt;wsp:rsid wsp:val=&quot;00761CAA&quot;/&gt;&lt;wsp:rsid wsp:val=&quot;0079533B&quot;/&gt;&lt;wsp:rsid wsp:val=&quot;007B0D68&quot;/&gt;&lt;wsp:rsid wsp:val=&quot;007C32CD&quot;/&gt;&lt;wsp:rsid wsp:val=&quot;007C5872&quot;/&gt;&lt;wsp:rsid wsp:val=&quot;007D5F8F&quot;/&gt;&lt;wsp:rsid wsp:val=&quot;007F4520&quot;/&gt;&lt;wsp:rsid wsp:val=&quot;00803332&quot;/&gt;&lt;wsp:rsid wsp:val=&quot;00816E8D&quot;/&gt;&lt;wsp:rsid wsp:val=&quot;00830609&quot;/&gt;&lt;wsp:rsid wsp:val=&quot;00843945&quot;/&gt;&lt;wsp:rsid wsp:val=&quot;00852CB4&quot;/&gt;&lt;wsp:rsid wsp:val=&quot;00854C5C&quot;/&gt;&lt;wsp:rsid wsp:val=&quot;00865A24&quot;/&gt;&lt;wsp:rsid wsp:val=&quot;00867454&quot;/&gt;&lt;wsp:rsid wsp:val=&quot;00873348&quot;/&gt;&lt;wsp:rsid wsp:val=&quot;00873872&quot;/&gt;&lt;wsp:rsid wsp:val=&quot;00882558&quot;/&gt;&lt;wsp:rsid wsp:val=&quot;00890852&quot;/&gt;&lt;wsp:rsid wsp:val=&quot;008D5588&quot;/&gt;&lt;wsp:rsid wsp:val=&quot;008E0801&quot;/&gt;&lt;wsp:rsid wsp:val=&quot;008E1591&quot;/&gt;&lt;wsp:rsid wsp:val=&quot;008E33AE&quot;/&gt;&lt;wsp:rsid wsp:val=&quot;008F0FAE&quot;/&gt;&lt;wsp:rsid wsp:val=&quot;008F63C8&quot;/&gt;&lt;wsp:rsid wsp:val=&quot;0090640A&quot;/&gt;&lt;wsp:rsid wsp:val=&quot;00922310&quot;/&gt;&lt;wsp:rsid wsp:val=&quot;00925923&quot;/&gt;&lt;wsp:rsid wsp:val=&quot;00935E03&quot;/&gt;&lt;wsp:rsid wsp:val=&quot;00935F74&quot;/&gt;&lt;wsp:rsid wsp:val=&quot;00953508&quot;/&gt;&lt;wsp:rsid wsp:val=&quot;00956DD8&quot;/&gt;&lt;wsp:rsid wsp:val=&quot;00971949&quot;/&gt;&lt;wsp:rsid wsp:val=&quot;00985A46&quot;/&gt;&lt;wsp:rsid wsp:val=&quot;00987757&quot;/&gt;&lt;wsp:rsid wsp:val=&quot;00996D36&quot;/&gt;&lt;wsp:rsid wsp:val=&quot;009A623F&quot;/&gt;&lt;wsp:rsid wsp:val=&quot;009C709F&quot;/&gt;&lt;wsp:rsid wsp:val=&quot;009D491F&quot;/&gt;&lt;wsp:rsid wsp:val=&quot;009D4D7E&quot;/&gt;&lt;wsp:rsid wsp:val=&quot;009D4F3D&quot;/&gt;&lt;wsp:rsid wsp:val=&quot;009E46B2&quot;/&gt;&lt;wsp:rsid wsp:val=&quot;009F499F&quot;/&gt;&lt;wsp:rsid wsp:val=&quot;00A12F67&quot;/&gt;&lt;wsp:rsid wsp:val=&quot;00A20650&quot;/&gt;&lt;wsp:rsid wsp:val=&quot;00A24035&quot;/&gt;&lt;wsp:rsid wsp:val=&quot;00A335DE&quot;/&gt;&lt;wsp:rsid wsp:val=&quot;00A4564A&quot;/&gt;&lt;wsp:rsid wsp:val=&quot;00A6465E&quot;/&gt;&lt;wsp:rsid wsp:val=&quot;00A67FE3&quot;/&gt;&lt;wsp:rsid wsp:val=&quot;00A77550&quot;/&gt;&lt;wsp:rsid wsp:val=&quot;00A84B73&quot;/&gt;&lt;wsp:rsid wsp:val=&quot;00A85E51&quot;/&gt;&lt;wsp:rsid wsp:val=&quot;00A956A4&quot;/&gt;&lt;wsp:rsid wsp:val=&quot;00AA5766&quot;/&gt;&lt;wsp:rsid wsp:val=&quot;00AA5BA9&quot;/&gt;&lt;wsp:rsid wsp:val=&quot;00AB3770&quot;/&gt;&lt;wsp:rsid wsp:val=&quot;00AB4F9C&quot;/&gt;&lt;wsp:rsid wsp:val=&quot;00AC0568&quot;/&gt;&lt;wsp:rsid wsp:val=&quot;00AC3AAB&quot;/&gt;&lt;wsp:rsid wsp:val=&quot;00AD6A80&quot;/&gt;&lt;wsp:rsid wsp:val=&quot;00AE5A4B&quot;/&gt;&lt;wsp:rsid wsp:val=&quot;00AE64C1&quot;/&gt;&lt;wsp:rsid wsp:val=&quot;00AE7DA5&quot;/&gt;&lt;wsp:rsid wsp:val=&quot;00B1465A&quot;/&gt;&lt;wsp:rsid wsp:val=&quot;00B35DA8&quot;/&gt;&lt;wsp:rsid wsp:val=&quot;00B5163B&quot;/&gt;&lt;wsp:rsid wsp:val=&quot;00B70B92&quot;/&gt;&lt;wsp:rsid wsp:val=&quot;00B73B49&quot;/&gt;&lt;wsp:rsid wsp:val=&quot;00B774E3&quot;/&gt;&lt;wsp:rsid wsp:val=&quot;00B90ADC&quot;/&gt;&lt;wsp:rsid wsp:val=&quot;00B94988&quot;/&gt;&lt;wsp:rsid wsp:val=&quot;00B957FA&quot;/&gt;&lt;wsp:rsid wsp:val=&quot;00BA3EFA&quot;/&gt;&lt;wsp:rsid wsp:val=&quot;00BD009C&quot;/&gt;&lt;wsp:rsid wsp:val=&quot;00BE14BA&quot;/&gt;&lt;wsp:rsid wsp:val=&quot;00BE48E8&quot;/&gt;&lt;wsp:rsid wsp:val=&quot;00BF7284&quot;/&gt;&lt;wsp:rsid wsp:val=&quot;00C23948&quot;/&gt;&lt;wsp:rsid wsp:val=&quot;00C242CE&quot;/&gt;&lt;wsp:rsid wsp:val=&quot;00C3589F&quot;/&gt;&lt;wsp:rsid wsp:val=&quot;00C37DF5&quot;/&gt;&lt;wsp:rsid wsp:val=&quot;00C5682C&quot;/&gt;&lt;wsp:rsid wsp:val=&quot;00C90861&quot;/&gt;&lt;wsp:rsid wsp:val=&quot;00CA61FD&quot;/&gt;&lt;wsp:rsid wsp:val=&quot;00CB1E8F&quot;/&gt;&lt;wsp:rsid wsp:val=&quot;00CB7040&quot;/&gt;&lt;wsp:rsid wsp:val=&quot;00CD6B35&quot;/&gt;&lt;wsp:rsid wsp:val=&quot;00CF0D18&quot;/&gt;&lt;wsp:rsid wsp:val=&quot;00CF22E6&quot;/&gt;&lt;wsp:rsid wsp:val=&quot;00CF3CBA&quot;/&gt;&lt;wsp:rsid wsp:val=&quot;00CF6811&quot;/&gt;&lt;wsp:rsid wsp:val=&quot;00D26C6D&quot;/&gt;&lt;wsp:rsid wsp:val=&quot;00D554AA&quot;/&gt;&lt;wsp:rsid wsp:val=&quot;00D65439&quot;/&gt;&lt;wsp:rsid wsp:val=&quot;00D75872&quot;/&gt;&lt;wsp:rsid wsp:val=&quot;00D81A43&quot;/&gt;&lt;wsp:rsid wsp:val=&quot;00D83B7E&quot;/&gt;&lt;wsp:rsid wsp:val=&quot;00D90A76&quot;/&gt;&lt;wsp:rsid wsp:val=&quot;00DB32AF&quot;/&gt;&lt;wsp:rsid wsp:val=&quot;00DC6126&quot;/&gt;&lt;wsp:rsid wsp:val=&quot;00DC7EAB&quot;/&gt;&lt;wsp:rsid wsp:val=&quot;00DD73E0&quot;/&gt;&lt;wsp:rsid wsp:val=&quot;00DE576E&quot;/&gt;&lt;wsp:rsid wsp:val=&quot;00DE73BE&quot;/&gt;&lt;wsp:rsid wsp:val=&quot;00DF36FF&quot;/&gt;&lt;wsp:rsid wsp:val=&quot;00E00ED9&quot;/&gt;&lt;wsp:rsid wsp:val=&quot;00E04F4F&quot;/&gt;&lt;wsp:rsid wsp:val=&quot;00E06821&quot;/&gt;&lt;wsp:rsid wsp:val=&quot;00E15199&quot;/&gt;&lt;wsp:rsid wsp:val=&quot;00E50004&quot;/&gt;&lt;wsp:rsid wsp:val=&quot;00E56A2A&quot;/&gt;&lt;wsp:rsid wsp:val=&quot;00E713A8&quot;/&gt;&lt;wsp:rsid wsp:val=&quot;00E72EB3&quot;/&gt;&lt;wsp:rsid wsp:val=&quot;00E9403C&quot;/&gt;&lt;wsp:rsid wsp:val=&quot;00EB0E29&quot;/&gt;&lt;wsp:rsid wsp:val=&quot;00EB0E44&quot;/&gt;&lt;wsp:rsid wsp:val=&quot;00EC0D75&quot;/&gt;&lt;wsp:rsid wsp:val=&quot;00EC1DE7&quot;/&gt;&lt;wsp:rsid wsp:val=&quot;00ED44E4&quot;/&gt;&lt;wsp:rsid wsp:val=&quot;00ED4F43&quot;/&gt;&lt;wsp:rsid wsp:val=&quot;00EF045C&quot;/&gt;&lt;wsp:rsid wsp:val=&quot;00F15B39&quot;/&gt;&lt;wsp:rsid wsp:val=&quot;00F16DDF&quot;/&gt;&lt;wsp:rsid wsp:val=&quot;00F17C4A&quot;/&gt;&lt;wsp:rsid wsp:val=&quot;00F2137B&quot;/&gt;&lt;wsp:rsid wsp:val=&quot;00F217A0&quot;/&gt;&lt;wsp:rsid wsp:val=&quot;00F35FA4&quot;/&gt;&lt;wsp:rsid wsp:val=&quot;00F36346&quot;/&gt;&lt;wsp:rsid wsp:val=&quot;00F413E5&quot;/&gt;&lt;wsp:rsid wsp:val=&quot;00F9105D&quot;/&gt;&lt;wsp:rsid wsp:val=&quot;00FA2075&quot;/&gt;&lt;wsp:rsid wsp:val=&quot;00FB41C4&quot;/&gt;&lt;wsp:rsid wsp:val=&quot;00FB604E&quot;/&gt;&lt;wsp:rsid wsp:val=&quot;00FB7558&quot;/&gt;&lt;wsp:rsid wsp:val=&quot;00FD42C0&quot;/&gt;&lt;wsp:rsid wsp:val=&quot;00FF05FD&quot;/&gt;&lt;wsp:rsid wsp:val=&quot;00FF09AB&quot;/&gt;&lt;wsp:rsid wsp:val=&quot;00FF1456&quot;/&gt;&lt;wsp:rsid wsp:val=&quot;00FF5C94&quot;/&gt;&lt;wsp:rsid wsp:val=&quot;00FF6A4D&quot;/&gt;&lt;/wsp:rsids&gt;&lt;/w:docPr&gt;&lt;w:body&gt;&lt;wx:sect&gt;&lt;w:p wsp:rsidR=&quot;00000000&quot; wsp:rsidRDefault=&quot;00EC0D75&quot; wsp:rsidP=&quot;00EC0D75&quot;&gt;&lt;m:oMathPara&gt;&lt;m:oMath&gt;&lt;m:r&gt;&lt;m:rPr&gt;&lt;m:sty m:val=&quot;p&quot;/&gt;&lt;/m:rPr&gt;&lt;w:rPr&gt;&lt;w:rFonts w:ascii=&quot;Cambria Math&quot; w:h-ansi=&quot;Cambria Math&quot; w:cs=&quot;Times New Roman&quot;/&gt;&lt;wx:font wx:val=&quot;Cambria Math&quot;/&gt;&lt;/w:rPr&gt;&lt;m:t&gt;Р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754869">
              <w:rPr>
                <w:rFonts w:ascii="Times New Roman" w:hAnsi="Times New Roman" w:cs="Times New Roman"/>
              </w:rPr>
              <w:instrText xml:space="preserve"> </w:instrText>
            </w:r>
            <w:r w:rsidRPr="00754869">
              <w:rPr>
                <w:rFonts w:ascii="Times New Roman" w:hAnsi="Times New Roman" w:cs="Times New Roman"/>
              </w:rPr>
              <w:fldChar w:fldCharType="separate"/>
            </w:r>
            <w:r w:rsidR="00037924">
              <w:rPr>
                <w:position w:val="-9"/>
              </w:rPr>
              <w:pict>
                <v:shape id="_x0000_i1026" type="#_x0000_t75" style="width: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efaultTabStop w:val=&quot;708&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35E03&quot;/&gt;&lt;wsp:rsid wsp:val=&quot;000013D3&quot;/&gt;&lt;wsp:rsid wsp:val=&quot;000104D5&quot;/&gt;&lt;wsp:rsid wsp:val=&quot;00016AD6&quot;/&gt;&lt;wsp:rsid wsp:val=&quot;00016EA2&quot;/&gt;&lt;wsp:rsid wsp:val=&quot;00036B93&quot;/&gt;&lt;wsp:rsid wsp:val=&quot;0005565D&quot;/&gt;&lt;wsp:rsid wsp:val=&quot;00063F85&quot;/&gt;&lt;wsp:rsid wsp:val=&quot;00082458&quot;/&gt;&lt;wsp:rsid wsp:val=&quot;00087EF8&quot;/&gt;&lt;wsp:rsid wsp:val=&quot;00095E64&quot;/&gt;&lt;wsp:rsid wsp:val=&quot;000A2D8F&quot;/&gt;&lt;wsp:rsid wsp:val=&quot;000A38F1&quot;/&gt;&lt;wsp:rsid wsp:val=&quot;000B03CA&quot;/&gt;&lt;wsp:rsid wsp:val=&quot;000B2510&quot;/&gt;&lt;wsp:rsid wsp:val=&quot;000C094F&quot;/&gt;&lt;wsp:rsid wsp:val=&quot;000C286F&quot;/&gt;&lt;wsp:rsid wsp:val=&quot;000D27F8&quot;/&gt;&lt;wsp:rsid wsp:val=&quot;000D7F93&quot;/&gt;&lt;wsp:rsid wsp:val=&quot;000E7F40&quot;/&gt;&lt;wsp:rsid wsp:val=&quot;0011624E&quot;/&gt;&lt;wsp:rsid wsp:val=&quot;00121E46&quot;/&gt;&lt;wsp:rsid wsp:val=&quot;001243A8&quot;/&gt;&lt;wsp:rsid wsp:val=&quot;001270DA&quot;/&gt;&lt;wsp:rsid wsp:val=&quot;00135B40&quot;/&gt;&lt;wsp:rsid wsp:val=&quot;001436F0&quot;/&gt;&lt;wsp:rsid wsp:val=&quot;001439AB&quot;/&gt;&lt;wsp:rsid wsp:val=&quot;00152E4E&quot;/&gt;&lt;wsp:rsid wsp:val=&quot;001618CD&quot;/&gt;&lt;wsp:rsid wsp:val=&quot;00162268&quot;/&gt;&lt;wsp:rsid wsp:val=&quot;00183051&quot;/&gt;&lt;wsp:rsid wsp:val=&quot;00197730&quot;/&gt;&lt;wsp:rsid wsp:val=&quot;001C5203&quot;/&gt;&lt;wsp:rsid wsp:val=&quot;001F3465&quot;/&gt;&lt;wsp:rsid wsp:val=&quot;001F707F&quot;/&gt;&lt;wsp:rsid wsp:val=&quot;00205DF2&quot;/&gt;&lt;wsp:rsid wsp:val=&quot;00220CDB&quot;/&gt;&lt;wsp:rsid wsp:val=&quot;00225A67&quot;/&gt;&lt;wsp:rsid wsp:val=&quot;00235CCF&quot;/&gt;&lt;wsp:rsid wsp:val=&quot;00236DA5&quot;/&gt;&lt;wsp:rsid wsp:val=&quot;00261D24&quot;/&gt;&lt;wsp:rsid wsp:val=&quot;00263703&quot;/&gt;&lt;wsp:rsid wsp:val=&quot;0027369E&quot;/&gt;&lt;wsp:rsid wsp:val=&quot;00295109&quot;/&gt;&lt;wsp:rsid wsp:val=&quot;002976E2&quot;/&gt;&lt;wsp:rsid wsp:val=&quot;002B7CE3&quot;/&gt;&lt;wsp:rsid wsp:val=&quot;002D1BF1&quot;/&gt;&lt;wsp:rsid wsp:val=&quot;002E420F&quot;/&gt;&lt;wsp:rsid wsp:val=&quot;002F77D5&quot;/&gt;&lt;wsp:rsid wsp:val=&quot;0030643B&quot;/&gt;&lt;wsp:rsid wsp:val=&quot;00314436&quot;/&gt;&lt;wsp:rsid wsp:val=&quot;00317AB1&quot;/&gt;&lt;wsp:rsid wsp:val=&quot;00322F1B&quot;/&gt;&lt;wsp:rsid wsp:val=&quot;00371A8E&quot;/&gt;&lt;wsp:rsid wsp:val=&quot;003841EC&quot;/&gt;&lt;wsp:rsid wsp:val=&quot;00395777&quot;/&gt;&lt;wsp:rsid wsp:val=&quot;003A2F30&quot;/&gt;&lt;wsp:rsid wsp:val=&quot;003A6305&quot;/&gt;&lt;wsp:rsid wsp:val=&quot;003C7956&quot;/&gt;&lt;wsp:rsid wsp:val=&quot;003E21DD&quot;/&gt;&lt;wsp:rsid wsp:val=&quot;003E4E5C&quot;/&gt;&lt;wsp:rsid wsp:val=&quot;003F13FA&quot;/&gt;&lt;wsp:rsid wsp:val=&quot;003F23B3&quot;/&gt;&lt;wsp:rsid wsp:val=&quot;00412E30&quot;/&gt;&lt;wsp:rsid wsp:val=&quot;00415A32&quot;/&gt;&lt;wsp:rsid wsp:val=&quot;00424095&quot;/&gt;&lt;wsp:rsid wsp:val=&quot;00426831&quot;/&gt;&lt;wsp:rsid wsp:val=&quot;00440C27&quot;/&gt;&lt;wsp:rsid wsp:val=&quot;004513CD&quot;/&gt;&lt;wsp:rsid wsp:val=&quot;00476DB0&quot;/&gt;&lt;wsp:rsid wsp:val=&quot;004913A9&quot;/&gt;&lt;wsp:rsid wsp:val=&quot;004A22BF&quot;/&gt;&lt;wsp:rsid wsp:val=&quot;004A2EF0&quot;/&gt;&lt;wsp:rsid wsp:val=&quot;004C710B&quot;/&gt;&lt;wsp:rsid wsp:val=&quot;004C7237&quot;/&gt;&lt;wsp:rsid wsp:val=&quot;004D207B&quot;/&gt;&lt;wsp:rsid wsp:val=&quot;004E5F21&quot;/&gt;&lt;wsp:rsid wsp:val=&quot;004F7AAE&quot;/&gt;&lt;wsp:rsid wsp:val=&quot;00501912&quot;/&gt;&lt;wsp:rsid wsp:val=&quot;0051062F&quot;/&gt;&lt;wsp:rsid wsp:val=&quot;00511435&quot;/&gt;&lt;wsp:rsid wsp:val=&quot;00514082&quot;/&gt;&lt;wsp:rsid wsp:val=&quot;0052775D&quot;/&gt;&lt;wsp:rsid wsp:val=&quot;0054660D&quot;/&gt;&lt;wsp:rsid wsp:val=&quot;005630C1&quot;/&gt;&lt;wsp:rsid wsp:val=&quot;00583584&quot;/&gt;&lt;wsp:rsid wsp:val=&quot;005A5F08&quot;/&gt;&lt;wsp:rsid wsp:val=&quot;005A62EA&quot;/&gt;&lt;wsp:rsid wsp:val=&quot;005A7D68&quot;/&gt;&lt;wsp:rsid wsp:val=&quot;005D6C6C&quot;/&gt;&lt;wsp:rsid wsp:val=&quot;005D76AD&quot;/&gt;&lt;wsp:rsid wsp:val=&quot;005F39AE&quot;/&gt;&lt;wsp:rsid wsp:val=&quot;006027B6&quot;/&gt;&lt;wsp:rsid wsp:val=&quot;0060511E&quot;/&gt;&lt;wsp:rsid wsp:val=&quot;00625ACB&quot;/&gt;&lt;wsp:rsid wsp:val=&quot;00630665&quot;/&gt;&lt;wsp:rsid wsp:val=&quot;0064648C&quot;/&gt;&lt;wsp:rsid wsp:val=&quot;006A3A24&quot;/&gt;&lt;wsp:rsid wsp:val=&quot;006A6CB8&quot;/&gt;&lt;wsp:rsid wsp:val=&quot;006C15F2&quot;/&gt;&lt;wsp:rsid wsp:val=&quot;006C1C79&quot;/&gt;&lt;wsp:rsid wsp:val=&quot;006C2BFF&quot;/&gt;&lt;wsp:rsid wsp:val=&quot;006C3872&quot;/&gt;&lt;wsp:rsid wsp:val=&quot;006C4C56&quot;/&gt;&lt;wsp:rsid wsp:val=&quot;006E6280&quot;/&gt;&lt;wsp:rsid wsp:val=&quot;006E678E&quot;/&gt;&lt;wsp:rsid wsp:val=&quot;006F3365&quot;/&gt;&lt;wsp:rsid wsp:val=&quot;006F6FD9&quot;/&gt;&lt;wsp:rsid wsp:val=&quot;00702C68&quot;/&gt;&lt;wsp:rsid wsp:val=&quot;00712A4B&quot;/&gt;&lt;wsp:rsid wsp:val=&quot;00721DE9&quot;/&gt;&lt;wsp:rsid wsp:val=&quot;00732774&quot;/&gt;&lt;wsp:rsid wsp:val=&quot;00735BED&quot;/&gt;&lt;wsp:rsid wsp:val=&quot;00752EC3&quot;/&gt;&lt;wsp:rsid wsp:val=&quot;00753F6A&quot;/&gt;&lt;wsp:rsid wsp:val=&quot;00754869&quot;/&gt;&lt;wsp:rsid wsp:val=&quot;00755F8B&quot;/&gt;&lt;wsp:rsid wsp:val=&quot;00761CAA&quot;/&gt;&lt;wsp:rsid wsp:val=&quot;0079533B&quot;/&gt;&lt;wsp:rsid wsp:val=&quot;007B0D68&quot;/&gt;&lt;wsp:rsid wsp:val=&quot;007C32CD&quot;/&gt;&lt;wsp:rsid wsp:val=&quot;007C5872&quot;/&gt;&lt;wsp:rsid wsp:val=&quot;007D5F8F&quot;/&gt;&lt;wsp:rsid wsp:val=&quot;007F4520&quot;/&gt;&lt;wsp:rsid wsp:val=&quot;00803332&quot;/&gt;&lt;wsp:rsid wsp:val=&quot;00816E8D&quot;/&gt;&lt;wsp:rsid wsp:val=&quot;00830609&quot;/&gt;&lt;wsp:rsid wsp:val=&quot;00843945&quot;/&gt;&lt;wsp:rsid wsp:val=&quot;00852CB4&quot;/&gt;&lt;wsp:rsid wsp:val=&quot;00854C5C&quot;/&gt;&lt;wsp:rsid wsp:val=&quot;00865A24&quot;/&gt;&lt;wsp:rsid wsp:val=&quot;00867454&quot;/&gt;&lt;wsp:rsid wsp:val=&quot;00873348&quot;/&gt;&lt;wsp:rsid wsp:val=&quot;00873872&quot;/&gt;&lt;wsp:rsid wsp:val=&quot;00882558&quot;/&gt;&lt;wsp:rsid wsp:val=&quot;00890852&quot;/&gt;&lt;wsp:rsid wsp:val=&quot;008D5588&quot;/&gt;&lt;wsp:rsid wsp:val=&quot;008E0801&quot;/&gt;&lt;wsp:rsid wsp:val=&quot;008E1591&quot;/&gt;&lt;wsp:rsid wsp:val=&quot;008E33AE&quot;/&gt;&lt;wsp:rsid wsp:val=&quot;008F0FAE&quot;/&gt;&lt;wsp:rsid wsp:val=&quot;008F63C8&quot;/&gt;&lt;wsp:rsid wsp:val=&quot;0090640A&quot;/&gt;&lt;wsp:rsid wsp:val=&quot;00922310&quot;/&gt;&lt;wsp:rsid wsp:val=&quot;00925923&quot;/&gt;&lt;wsp:rsid wsp:val=&quot;00935E03&quot;/&gt;&lt;wsp:rsid wsp:val=&quot;00935F74&quot;/&gt;&lt;wsp:rsid wsp:val=&quot;00953508&quot;/&gt;&lt;wsp:rsid wsp:val=&quot;00956DD8&quot;/&gt;&lt;wsp:rsid wsp:val=&quot;00971949&quot;/&gt;&lt;wsp:rsid wsp:val=&quot;00985A46&quot;/&gt;&lt;wsp:rsid wsp:val=&quot;00987757&quot;/&gt;&lt;wsp:rsid wsp:val=&quot;00996D36&quot;/&gt;&lt;wsp:rsid wsp:val=&quot;009A623F&quot;/&gt;&lt;wsp:rsid wsp:val=&quot;009C709F&quot;/&gt;&lt;wsp:rsid wsp:val=&quot;009D491F&quot;/&gt;&lt;wsp:rsid wsp:val=&quot;009D4D7E&quot;/&gt;&lt;wsp:rsid wsp:val=&quot;009D4F3D&quot;/&gt;&lt;wsp:rsid wsp:val=&quot;009E46B2&quot;/&gt;&lt;wsp:rsid wsp:val=&quot;009F499F&quot;/&gt;&lt;wsp:rsid wsp:val=&quot;00A12F67&quot;/&gt;&lt;wsp:rsid wsp:val=&quot;00A20650&quot;/&gt;&lt;wsp:rsid wsp:val=&quot;00A24035&quot;/&gt;&lt;wsp:rsid wsp:val=&quot;00A335DE&quot;/&gt;&lt;wsp:rsid wsp:val=&quot;00A4564A&quot;/&gt;&lt;wsp:rsid wsp:val=&quot;00A6465E&quot;/&gt;&lt;wsp:rsid wsp:val=&quot;00A67FE3&quot;/&gt;&lt;wsp:rsid wsp:val=&quot;00A77550&quot;/&gt;&lt;wsp:rsid wsp:val=&quot;00A84B73&quot;/&gt;&lt;wsp:rsid wsp:val=&quot;00A85E51&quot;/&gt;&lt;wsp:rsid wsp:val=&quot;00A956A4&quot;/&gt;&lt;wsp:rsid wsp:val=&quot;00AA5766&quot;/&gt;&lt;wsp:rsid wsp:val=&quot;00AA5BA9&quot;/&gt;&lt;wsp:rsid wsp:val=&quot;00AB3770&quot;/&gt;&lt;wsp:rsid wsp:val=&quot;00AB4F9C&quot;/&gt;&lt;wsp:rsid wsp:val=&quot;00AC0568&quot;/&gt;&lt;wsp:rsid wsp:val=&quot;00AC3AAB&quot;/&gt;&lt;wsp:rsid wsp:val=&quot;00AD6A80&quot;/&gt;&lt;wsp:rsid wsp:val=&quot;00AE5A4B&quot;/&gt;&lt;wsp:rsid wsp:val=&quot;00AE64C1&quot;/&gt;&lt;wsp:rsid wsp:val=&quot;00AE7DA5&quot;/&gt;&lt;wsp:rsid wsp:val=&quot;00B1465A&quot;/&gt;&lt;wsp:rsid wsp:val=&quot;00B35DA8&quot;/&gt;&lt;wsp:rsid wsp:val=&quot;00B5163B&quot;/&gt;&lt;wsp:rsid wsp:val=&quot;00B70B92&quot;/&gt;&lt;wsp:rsid wsp:val=&quot;00B73B49&quot;/&gt;&lt;wsp:rsid wsp:val=&quot;00B774E3&quot;/&gt;&lt;wsp:rsid wsp:val=&quot;00B90ADC&quot;/&gt;&lt;wsp:rsid wsp:val=&quot;00B94988&quot;/&gt;&lt;wsp:rsid wsp:val=&quot;00B957FA&quot;/&gt;&lt;wsp:rsid wsp:val=&quot;00BA3EFA&quot;/&gt;&lt;wsp:rsid wsp:val=&quot;00BD009C&quot;/&gt;&lt;wsp:rsid wsp:val=&quot;00BE14BA&quot;/&gt;&lt;wsp:rsid wsp:val=&quot;00BE48E8&quot;/&gt;&lt;wsp:rsid wsp:val=&quot;00BF7284&quot;/&gt;&lt;wsp:rsid wsp:val=&quot;00C23948&quot;/&gt;&lt;wsp:rsid wsp:val=&quot;00C242CE&quot;/&gt;&lt;wsp:rsid wsp:val=&quot;00C3589F&quot;/&gt;&lt;wsp:rsid wsp:val=&quot;00C37DF5&quot;/&gt;&lt;wsp:rsid wsp:val=&quot;00C5682C&quot;/&gt;&lt;wsp:rsid wsp:val=&quot;00C90861&quot;/&gt;&lt;wsp:rsid wsp:val=&quot;00CA61FD&quot;/&gt;&lt;wsp:rsid wsp:val=&quot;00CB1E8F&quot;/&gt;&lt;wsp:rsid wsp:val=&quot;00CB7040&quot;/&gt;&lt;wsp:rsid wsp:val=&quot;00CD6B35&quot;/&gt;&lt;wsp:rsid wsp:val=&quot;00CF0D18&quot;/&gt;&lt;wsp:rsid wsp:val=&quot;00CF22E6&quot;/&gt;&lt;wsp:rsid wsp:val=&quot;00CF3CBA&quot;/&gt;&lt;wsp:rsid wsp:val=&quot;00CF6811&quot;/&gt;&lt;wsp:rsid wsp:val=&quot;00D26C6D&quot;/&gt;&lt;wsp:rsid wsp:val=&quot;00D554AA&quot;/&gt;&lt;wsp:rsid wsp:val=&quot;00D65439&quot;/&gt;&lt;wsp:rsid wsp:val=&quot;00D75872&quot;/&gt;&lt;wsp:rsid wsp:val=&quot;00D81A43&quot;/&gt;&lt;wsp:rsid wsp:val=&quot;00D83B7E&quot;/&gt;&lt;wsp:rsid wsp:val=&quot;00D90A76&quot;/&gt;&lt;wsp:rsid wsp:val=&quot;00DB32AF&quot;/&gt;&lt;wsp:rsid wsp:val=&quot;00DC6126&quot;/&gt;&lt;wsp:rsid wsp:val=&quot;00DC7EAB&quot;/&gt;&lt;wsp:rsid wsp:val=&quot;00DD73E0&quot;/&gt;&lt;wsp:rsid wsp:val=&quot;00DE576E&quot;/&gt;&lt;wsp:rsid wsp:val=&quot;00DE73BE&quot;/&gt;&lt;wsp:rsid wsp:val=&quot;00DF36FF&quot;/&gt;&lt;wsp:rsid wsp:val=&quot;00E00ED9&quot;/&gt;&lt;wsp:rsid wsp:val=&quot;00E04F4F&quot;/&gt;&lt;wsp:rsid wsp:val=&quot;00E06821&quot;/&gt;&lt;wsp:rsid wsp:val=&quot;00E15199&quot;/&gt;&lt;wsp:rsid wsp:val=&quot;00E50004&quot;/&gt;&lt;wsp:rsid wsp:val=&quot;00E56A2A&quot;/&gt;&lt;wsp:rsid wsp:val=&quot;00E713A8&quot;/&gt;&lt;wsp:rsid wsp:val=&quot;00E72EB3&quot;/&gt;&lt;wsp:rsid wsp:val=&quot;00E9403C&quot;/&gt;&lt;wsp:rsid wsp:val=&quot;00EB0E29&quot;/&gt;&lt;wsp:rsid wsp:val=&quot;00EB0E44&quot;/&gt;&lt;wsp:rsid wsp:val=&quot;00EC0D75&quot;/&gt;&lt;wsp:rsid wsp:val=&quot;00EC1DE7&quot;/&gt;&lt;wsp:rsid wsp:val=&quot;00ED44E4&quot;/&gt;&lt;wsp:rsid wsp:val=&quot;00ED4F43&quot;/&gt;&lt;wsp:rsid wsp:val=&quot;00EF045C&quot;/&gt;&lt;wsp:rsid wsp:val=&quot;00F15B39&quot;/&gt;&lt;wsp:rsid wsp:val=&quot;00F16DDF&quot;/&gt;&lt;wsp:rsid wsp:val=&quot;00F17C4A&quot;/&gt;&lt;wsp:rsid wsp:val=&quot;00F2137B&quot;/&gt;&lt;wsp:rsid wsp:val=&quot;00F217A0&quot;/&gt;&lt;wsp:rsid wsp:val=&quot;00F35FA4&quot;/&gt;&lt;wsp:rsid wsp:val=&quot;00F36346&quot;/&gt;&lt;wsp:rsid wsp:val=&quot;00F413E5&quot;/&gt;&lt;wsp:rsid wsp:val=&quot;00F9105D&quot;/&gt;&lt;wsp:rsid wsp:val=&quot;00FA2075&quot;/&gt;&lt;wsp:rsid wsp:val=&quot;00FB41C4&quot;/&gt;&lt;wsp:rsid wsp:val=&quot;00FB604E&quot;/&gt;&lt;wsp:rsid wsp:val=&quot;00FB7558&quot;/&gt;&lt;wsp:rsid wsp:val=&quot;00FD42C0&quot;/&gt;&lt;wsp:rsid wsp:val=&quot;00FF05FD&quot;/&gt;&lt;wsp:rsid wsp:val=&quot;00FF09AB&quot;/&gt;&lt;wsp:rsid wsp:val=&quot;00FF1456&quot;/&gt;&lt;wsp:rsid wsp:val=&quot;00FF5C94&quot;/&gt;&lt;wsp:rsid wsp:val=&quot;00FF6A4D&quot;/&gt;&lt;/wsp:rsids&gt;&lt;/w:docPr&gt;&lt;w:body&gt;&lt;wx:sect&gt;&lt;w:p wsp:rsidR=&quot;00000000&quot; wsp:rsidRDefault=&quot;00EC0D75&quot; wsp:rsidP=&quot;00EC0D75&quot;&gt;&lt;m:oMathPara&gt;&lt;m:oMath&gt;&lt;m:r&gt;&lt;m:rPr&gt;&lt;m:sty m:val=&quot;p&quot;/&gt;&lt;/m:rPr&gt;&lt;w:rPr&gt;&lt;w:rFonts w:ascii=&quot;Cambria Math&quot; w:h-ansi=&quot;Cambria Math&quot; w:cs=&quot;Times New Roman&quot;/&gt;&lt;wx:font wx:val=&quot;Cambria Math&quot;/&gt;&lt;/w:rPr&gt;&lt;m:t&gt;Р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754869">
              <w:rPr>
                <w:rFonts w:ascii="Times New Roman" w:hAnsi="Times New Roman" w:cs="Times New Roman"/>
              </w:rPr>
              <w:fldChar w:fldCharType="end"/>
            </w:r>
            <w:r w:rsidRPr="00754869">
              <w:rPr>
                <w:rFonts w:ascii="Times New Roman" w:hAnsi="Times New Roman" w:cs="Times New Roman"/>
              </w:rPr>
              <w:t>) = 0, если постановления о назначении административного наказания вступили в силу;</w:t>
            </w:r>
          </w:p>
          <w:p w:rsidR="00754869" w:rsidRPr="00754869" w:rsidRDefault="00754869" w:rsidP="00754869">
            <w:pPr>
              <w:widowControl w:val="0"/>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E(</w:t>
            </w:r>
            <w:r w:rsidRPr="00754869">
              <w:rPr>
                <w:rFonts w:ascii="Times New Roman" w:hAnsi="Times New Roman" w:cs="Times New Roman"/>
              </w:rPr>
              <w:fldChar w:fldCharType="begin"/>
            </w:r>
            <w:r w:rsidRPr="00754869">
              <w:rPr>
                <w:rFonts w:ascii="Times New Roman" w:hAnsi="Times New Roman" w:cs="Times New Roman"/>
              </w:rPr>
              <w:instrText xml:space="preserve"> QUOTE </w:instrText>
            </w:r>
            <w:r w:rsidR="00037924">
              <w:rPr>
                <w:position w:val="-9"/>
              </w:rPr>
              <w:pict>
                <v:shape id="_x0000_i1027" type="#_x0000_t75" style="width: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efaultTabStop w:val=&quot;708&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35E03&quot;/&gt;&lt;wsp:rsid wsp:val=&quot;000013D3&quot;/&gt;&lt;wsp:rsid wsp:val=&quot;000104D5&quot;/&gt;&lt;wsp:rsid wsp:val=&quot;00016AD6&quot;/&gt;&lt;wsp:rsid wsp:val=&quot;00016EA2&quot;/&gt;&lt;wsp:rsid wsp:val=&quot;00036B93&quot;/&gt;&lt;wsp:rsid wsp:val=&quot;0005565D&quot;/&gt;&lt;wsp:rsid wsp:val=&quot;00063F85&quot;/&gt;&lt;wsp:rsid wsp:val=&quot;00082458&quot;/&gt;&lt;wsp:rsid wsp:val=&quot;00087EF8&quot;/&gt;&lt;wsp:rsid wsp:val=&quot;00095E64&quot;/&gt;&lt;wsp:rsid wsp:val=&quot;000A2D8F&quot;/&gt;&lt;wsp:rsid wsp:val=&quot;000A38F1&quot;/&gt;&lt;wsp:rsid wsp:val=&quot;000B03CA&quot;/&gt;&lt;wsp:rsid wsp:val=&quot;000B2510&quot;/&gt;&lt;wsp:rsid wsp:val=&quot;000C094F&quot;/&gt;&lt;wsp:rsid wsp:val=&quot;000C286F&quot;/&gt;&lt;wsp:rsid wsp:val=&quot;000D27F8&quot;/&gt;&lt;wsp:rsid wsp:val=&quot;000D7F93&quot;/&gt;&lt;wsp:rsid wsp:val=&quot;000E7F40&quot;/&gt;&lt;wsp:rsid wsp:val=&quot;0011624E&quot;/&gt;&lt;wsp:rsid wsp:val=&quot;00121E46&quot;/&gt;&lt;wsp:rsid wsp:val=&quot;001243A8&quot;/&gt;&lt;wsp:rsid wsp:val=&quot;001270DA&quot;/&gt;&lt;wsp:rsid wsp:val=&quot;00135B40&quot;/&gt;&lt;wsp:rsid wsp:val=&quot;001436F0&quot;/&gt;&lt;wsp:rsid wsp:val=&quot;001439AB&quot;/&gt;&lt;wsp:rsid wsp:val=&quot;00152E4E&quot;/&gt;&lt;wsp:rsid wsp:val=&quot;001618CD&quot;/&gt;&lt;wsp:rsid wsp:val=&quot;00162268&quot;/&gt;&lt;wsp:rsid wsp:val=&quot;00183051&quot;/&gt;&lt;wsp:rsid wsp:val=&quot;00197730&quot;/&gt;&lt;wsp:rsid wsp:val=&quot;001C5203&quot;/&gt;&lt;wsp:rsid wsp:val=&quot;001F3465&quot;/&gt;&lt;wsp:rsid wsp:val=&quot;001F707F&quot;/&gt;&lt;wsp:rsid wsp:val=&quot;00205DF2&quot;/&gt;&lt;wsp:rsid wsp:val=&quot;00220CDB&quot;/&gt;&lt;wsp:rsid wsp:val=&quot;00225A67&quot;/&gt;&lt;wsp:rsid wsp:val=&quot;00235CCF&quot;/&gt;&lt;wsp:rsid wsp:val=&quot;00236DA5&quot;/&gt;&lt;wsp:rsid wsp:val=&quot;00261D24&quot;/&gt;&lt;wsp:rsid wsp:val=&quot;00263703&quot;/&gt;&lt;wsp:rsid wsp:val=&quot;0027369E&quot;/&gt;&lt;wsp:rsid wsp:val=&quot;00295109&quot;/&gt;&lt;wsp:rsid wsp:val=&quot;002976E2&quot;/&gt;&lt;wsp:rsid wsp:val=&quot;002B7CE3&quot;/&gt;&lt;wsp:rsid wsp:val=&quot;002D1BF1&quot;/&gt;&lt;wsp:rsid wsp:val=&quot;002E420F&quot;/&gt;&lt;wsp:rsid wsp:val=&quot;002F77D5&quot;/&gt;&lt;wsp:rsid wsp:val=&quot;0030643B&quot;/&gt;&lt;wsp:rsid wsp:val=&quot;00314436&quot;/&gt;&lt;wsp:rsid wsp:val=&quot;00317AB1&quot;/&gt;&lt;wsp:rsid wsp:val=&quot;00322F1B&quot;/&gt;&lt;wsp:rsid wsp:val=&quot;00371A8E&quot;/&gt;&lt;wsp:rsid wsp:val=&quot;003841EC&quot;/&gt;&lt;wsp:rsid wsp:val=&quot;00395777&quot;/&gt;&lt;wsp:rsid wsp:val=&quot;003A2612&quot;/&gt;&lt;wsp:rsid wsp:val=&quot;003A2F30&quot;/&gt;&lt;wsp:rsid wsp:val=&quot;003A6305&quot;/&gt;&lt;wsp:rsid wsp:val=&quot;003C7956&quot;/&gt;&lt;wsp:rsid wsp:val=&quot;003E21DD&quot;/&gt;&lt;wsp:rsid wsp:val=&quot;003E4E5C&quot;/&gt;&lt;wsp:rsid wsp:val=&quot;003F13FA&quot;/&gt;&lt;wsp:rsid wsp:val=&quot;003F23B3&quot;/&gt;&lt;wsp:rsid wsp:val=&quot;00412E30&quot;/&gt;&lt;wsp:rsid wsp:val=&quot;00415A32&quot;/&gt;&lt;wsp:rsid wsp:val=&quot;00424095&quot;/&gt;&lt;wsp:rsid wsp:val=&quot;00426831&quot;/&gt;&lt;wsp:rsid wsp:val=&quot;00440C27&quot;/&gt;&lt;wsp:rsid wsp:val=&quot;004513CD&quot;/&gt;&lt;wsp:rsid wsp:val=&quot;00476DB0&quot;/&gt;&lt;wsp:rsid wsp:val=&quot;004913A9&quot;/&gt;&lt;wsp:rsid wsp:val=&quot;004A22BF&quot;/&gt;&lt;wsp:rsid wsp:val=&quot;004A2EF0&quot;/&gt;&lt;wsp:rsid wsp:val=&quot;004C710B&quot;/&gt;&lt;wsp:rsid wsp:val=&quot;004C7237&quot;/&gt;&lt;wsp:rsid wsp:val=&quot;004D207B&quot;/&gt;&lt;wsp:rsid wsp:val=&quot;004E5F21&quot;/&gt;&lt;wsp:rsid wsp:val=&quot;004F7AAE&quot;/&gt;&lt;wsp:rsid wsp:val=&quot;00501912&quot;/&gt;&lt;wsp:rsid wsp:val=&quot;0051062F&quot;/&gt;&lt;wsp:rsid wsp:val=&quot;00511435&quot;/&gt;&lt;wsp:rsid wsp:val=&quot;00514082&quot;/&gt;&lt;wsp:rsid wsp:val=&quot;0052775D&quot;/&gt;&lt;wsp:rsid wsp:val=&quot;0054660D&quot;/&gt;&lt;wsp:rsid wsp:val=&quot;005630C1&quot;/&gt;&lt;wsp:rsid wsp:val=&quot;00583584&quot;/&gt;&lt;wsp:rsid wsp:val=&quot;005A5F08&quot;/&gt;&lt;wsp:rsid wsp:val=&quot;005A62EA&quot;/&gt;&lt;wsp:rsid wsp:val=&quot;005A7D68&quot;/&gt;&lt;wsp:rsid wsp:val=&quot;005D6C6C&quot;/&gt;&lt;wsp:rsid wsp:val=&quot;005D76AD&quot;/&gt;&lt;wsp:rsid wsp:val=&quot;005F39AE&quot;/&gt;&lt;wsp:rsid wsp:val=&quot;006027B6&quot;/&gt;&lt;wsp:rsid wsp:val=&quot;0060511E&quot;/&gt;&lt;wsp:rsid wsp:val=&quot;00625ACB&quot;/&gt;&lt;wsp:rsid wsp:val=&quot;00630665&quot;/&gt;&lt;wsp:rsid wsp:val=&quot;0064648C&quot;/&gt;&lt;wsp:rsid wsp:val=&quot;006A3A24&quot;/&gt;&lt;wsp:rsid wsp:val=&quot;006A6CB8&quot;/&gt;&lt;wsp:rsid wsp:val=&quot;006C15F2&quot;/&gt;&lt;wsp:rsid wsp:val=&quot;006C1C79&quot;/&gt;&lt;wsp:rsid wsp:val=&quot;006C2BFF&quot;/&gt;&lt;wsp:rsid wsp:val=&quot;006C3872&quot;/&gt;&lt;wsp:rsid wsp:val=&quot;006C4C56&quot;/&gt;&lt;wsp:rsid wsp:val=&quot;006E6280&quot;/&gt;&lt;wsp:rsid wsp:val=&quot;006E678E&quot;/&gt;&lt;wsp:rsid wsp:val=&quot;006F3365&quot;/&gt;&lt;wsp:rsid wsp:val=&quot;006F6FD9&quot;/&gt;&lt;wsp:rsid wsp:val=&quot;00702C68&quot;/&gt;&lt;wsp:rsid wsp:val=&quot;00712A4B&quot;/&gt;&lt;wsp:rsid wsp:val=&quot;00721DE9&quot;/&gt;&lt;wsp:rsid wsp:val=&quot;00732774&quot;/&gt;&lt;wsp:rsid wsp:val=&quot;00735BED&quot;/&gt;&lt;wsp:rsid wsp:val=&quot;00752EC3&quot;/&gt;&lt;wsp:rsid wsp:val=&quot;00753F6A&quot;/&gt;&lt;wsp:rsid wsp:val=&quot;00754869&quot;/&gt;&lt;wsp:rsid wsp:val=&quot;00755F8B&quot;/&gt;&lt;wsp:rsid wsp:val=&quot;00761CAA&quot;/&gt;&lt;wsp:rsid wsp:val=&quot;0079533B&quot;/&gt;&lt;wsp:rsid wsp:val=&quot;007B0D68&quot;/&gt;&lt;wsp:rsid wsp:val=&quot;007C32CD&quot;/&gt;&lt;wsp:rsid wsp:val=&quot;007C5872&quot;/&gt;&lt;wsp:rsid wsp:val=&quot;007D5F8F&quot;/&gt;&lt;wsp:rsid wsp:val=&quot;007F4520&quot;/&gt;&lt;wsp:rsid wsp:val=&quot;00803332&quot;/&gt;&lt;wsp:rsid wsp:val=&quot;00816E8D&quot;/&gt;&lt;wsp:rsid wsp:val=&quot;00830609&quot;/&gt;&lt;wsp:rsid wsp:val=&quot;00843945&quot;/&gt;&lt;wsp:rsid wsp:val=&quot;00852CB4&quot;/&gt;&lt;wsp:rsid wsp:val=&quot;00854C5C&quot;/&gt;&lt;wsp:rsid wsp:val=&quot;00865A24&quot;/&gt;&lt;wsp:rsid wsp:val=&quot;00867454&quot;/&gt;&lt;wsp:rsid wsp:val=&quot;00873348&quot;/&gt;&lt;wsp:rsid wsp:val=&quot;00873872&quot;/&gt;&lt;wsp:rsid wsp:val=&quot;00882558&quot;/&gt;&lt;wsp:rsid wsp:val=&quot;00890852&quot;/&gt;&lt;wsp:rsid wsp:val=&quot;008D5588&quot;/&gt;&lt;wsp:rsid wsp:val=&quot;008E0801&quot;/&gt;&lt;wsp:rsid wsp:val=&quot;008E1591&quot;/&gt;&lt;wsp:rsid wsp:val=&quot;008E33AE&quot;/&gt;&lt;wsp:rsid wsp:val=&quot;008F0FAE&quot;/&gt;&lt;wsp:rsid wsp:val=&quot;008F63C8&quot;/&gt;&lt;wsp:rsid wsp:val=&quot;0090640A&quot;/&gt;&lt;wsp:rsid wsp:val=&quot;00922310&quot;/&gt;&lt;wsp:rsid wsp:val=&quot;00925923&quot;/&gt;&lt;wsp:rsid wsp:val=&quot;00935E03&quot;/&gt;&lt;wsp:rsid wsp:val=&quot;00935F74&quot;/&gt;&lt;wsp:rsid wsp:val=&quot;00953508&quot;/&gt;&lt;wsp:rsid wsp:val=&quot;00956DD8&quot;/&gt;&lt;wsp:rsid wsp:val=&quot;00971949&quot;/&gt;&lt;wsp:rsid wsp:val=&quot;00985A46&quot;/&gt;&lt;wsp:rsid wsp:val=&quot;00987757&quot;/&gt;&lt;wsp:rsid wsp:val=&quot;00996D36&quot;/&gt;&lt;wsp:rsid wsp:val=&quot;009A623F&quot;/&gt;&lt;wsp:rsid wsp:val=&quot;009C709F&quot;/&gt;&lt;wsp:rsid wsp:val=&quot;009D491F&quot;/&gt;&lt;wsp:rsid wsp:val=&quot;009D4D7E&quot;/&gt;&lt;wsp:rsid wsp:val=&quot;009D4F3D&quot;/&gt;&lt;wsp:rsid wsp:val=&quot;009E46B2&quot;/&gt;&lt;wsp:rsid wsp:val=&quot;009F499F&quot;/&gt;&lt;wsp:rsid wsp:val=&quot;00A12F67&quot;/&gt;&lt;wsp:rsid wsp:val=&quot;00A20650&quot;/&gt;&lt;wsp:rsid wsp:val=&quot;00A24035&quot;/&gt;&lt;wsp:rsid wsp:val=&quot;00A335DE&quot;/&gt;&lt;wsp:rsid wsp:val=&quot;00A4564A&quot;/&gt;&lt;wsp:rsid wsp:val=&quot;00A6465E&quot;/&gt;&lt;wsp:rsid wsp:val=&quot;00A67FE3&quot;/&gt;&lt;wsp:rsid wsp:val=&quot;00A77550&quot;/&gt;&lt;wsp:rsid wsp:val=&quot;00A84B73&quot;/&gt;&lt;wsp:rsid wsp:val=&quot;00A85E51&quot;/&gt;&lt;wsp:rsid wsp:val=&quot;00A956A4&quot;/&gt;&lt;wsp:rsid wsp:val=&quot;00AA5766&quot;/&gt;&lt;wsp:rsid wsp:val=&quot;00AA5BA9&quot;/&gt;&lt;wsp:rsid wsp:val=&quot;00AB3770&quot;/&gt;&lt;wsp:rsid wsp:val=&quot;00AB4F9C&quot;/&gt;&lt;wsp:rsid wsp:val=&quot;00AC0568&quot;/&gt;&lt;wsp:rsid wsp:val=&quot;00AC3AAB&quot;/&gt;&lt;wsp:rsid wsp:val=&quot;00AD6A80&quot;/&gt;&lt;wsp:rsid wsp:val=&quot;00AE5A4B&quot;/&gt;&lt;wsp:rsid wsp:val=&quot;00AE64C1&quot;/&gt;&lt;wsp:rsid wsp:val=&quot;00AE7DA5&quot;/&gt;&lt;wsp:rsid wsp:val=&quot;00B1465A&quot;/&gt;&lt;wsp:rsid wsp:val=&quot;00B35DA8&quot;/&gt;&lt;wsp:rsid wsp:val=&quot;00B5163B&quot;/&gt;&lt;wsp:rsid wsp:val=&quot;00B70B92&quot;/&gt;&lt;wsp:rsid wsp:val=&quot;00B73B49&quot;/&gt;&lt;wsp:rsid wsp:val=&quot;00B774E3&quot;/&gt;&lt;wsp:rsid wsp:val=&quot;00B90ADC&quot;/&gt;&lt;wsp:rsid wsp:val=&quot;00B94988&quot;/&gt;&lt;wsp:rsid wsp:val=&quot;00B957FA&quot;/&gt;&lt;wsp:rsid wsp:val=&quot;00BA3EFA&quot;/&gt;&lt;wsp:rsid wsp:val=&quot;00BD009C&quot;/&gt;&lt;wsp:rsid wsp:val=&quot;00BE14BA&quot;/&gt;&lt;wsp:rsid wsp:val=&quot;00BE48E8&quot;/&gt;&lt;wsp:rsid wsp:val=&quot;00BF7284&quot;/&gt;&lt;wsp:rsid wsp:val=&quot;00C23948&quot;/&gt;&lt;wsp:rsid wsp:val=&quot;00C242CE&quot;/&gt;&lt;wsp:rsid wsp:val=&quot;00C3589F&quot;/&gt;&lt;wsp:rsid wsp:val=&quot;00C37DF5&quot;/&gt;&lt;wsp:rsid wsp:val=&quot;00C5682C&quot;/&gt;&lt;wsp:rsid wsp:val=&quot;00C90861&quot;/&gt;&lt;wsp:rsid wsp:val=&quot;00CA61FD&quot;/&gt;&lt;wsp:rsid wsp:val=&quot;00CB1E8F&quot;/&gt;&lt;wsp:rsid wsp:val=&quot;00CB7040&quot;/&gt;&lt;wsp:rsid wsp:val=&quot;00CD6B35&quot;/&gt;&lt;wsp:rsid wsp:val=&quot;00CF0D18&quot;/&gt;&lt;wsp:rsid wsp:val=&quot;00CF22E6&quot;/&gt;&lt;wsp:rsid wsp:val=&quot;00CF3CBA&quot;/&gt;&lt;wsp:rsid wsp:val=&quot;00CF6811&quot;/&gt;&lt;wsp:rsid wsp:val=&quot;00D26C6D&quot;/&gt;&lt;wsp:rsid wsp:val=&quot;00D554AA&quot;/&gt;&lt;wsp:rsid wsp:val=&quot;00D65439&quot;/&gt;&lt;wsp:rsid wsp:val=&quot;00D75872&quot;/&gt;&lt;wsp:rsid wsp:val=&quot;00D81A43&quot;/&gt;&lt;wsp:rsid wsp:val=&quot;00D83B7E&quot;/&gt;&lt;wsp:rsid wsp:val=&quot;00D90A76&quot;/&gt;&lt;wsp:rsid wsp:val=&quot;00DB32AF&quot;/&gt;&lt;wsp:rsid wsp:val=&quot;00DC6126&quot;/&gt;&lt;wsp:rsid wsp:val=&quot;00DC7EAB&quot;/&gt;&lt;wsp:rsid wsp:val=&quot;00DD73E0&quot;/&gt;&lt;wsp:rsid wsp:val=&quot;00DE576E&quot;/&gt;&lt;wsp:rsid wsp:val=&quot;00DE73BE&quot;/&gt;&lt;wsp:rsid wsp:val=&quot;00DF36FF&quot;/&gt;&lt;wsp:rsid wsp:val=&quot;00E00ED9&quot;/&gt;&lt;wsp:rsid wsp:val=&quot;00E04F4F&quot;/&gt;&lt;wsp:rsid wsp:val=&quot;00E06821&quot;/&gt;&lt;wsp:rsid wsp:val=&quot;00E15199&quot;/&gt;&lt;wsp:rsid wsp:val=&quot;00E50004&quot;/&gt;&lt;wsp:rsid wsp:val=&quot;00E56A2A&quot;/&gt;&lt;wsp:rsid wsp:val=&quot;00E713A8&quot;/&gt;&lt;wsp:rsid wsp:val=&quot;00E72EB3&quot;/&gt;&lt;wsp:rsid wsp:val=&quot;00E9403C&quot;/&gt;&lt;wsp:rsid wsp:val=&quot;00EB0E29&quot;/&gt;&lt;wsp:rsid wsp:val=&quot;00EB0E44&quot;/&gt;&lt;wsp:rsid wsp:val=&quot;00EC1DE7&quot;/&gt;&lt;wsp:rsid wsp:val=&quot;00ED44E4&quot;/&gt;&lt;wsp:rsid wsp:val=&quot;00ED4F43&quot;/&gt;&lt;wsp:rsid wsp:val=&quot;00EF045C&quot;/&gt;&lt;wsp:rsid wsp:val=&quot;00F15B39&quot;/&gt;&lt;wsp:rsid wsp:val=&quot;00F16DDF&quot;/&gt;&lt;wsp:rsid wsp:val=&quot;00F17C4A&quot;/&gt;&lt;wsp:rsid wsp:val=&quot;00F2137B&quot;/&gt;&lt;wsp:rsid wsp:val=&quot;00F217A0&quot;/&gt;&lt;wsp:rsid wsp:val=&quot;00F35FA4&quot;/&gt;&lt;wsp:rsid wsp:val=&quot;00F36346&quot;/&gt;&lt;wsp:rsid wsp:val=&quot;00F413E5&quot;/&gt;&lt;wsp:rsid wsp:val=&quot;00F9105D&quot;/&gt;&lt;wsp:rsid wsp:val=&quot;00FA2075&quot;/&gt;&lt;wsp:rsid wsp:val=&quot;00FB41C4&quot;/&gt;&lt;wsp:rsid wsp:val=&quot;00FB604E&quot;/&gt;&lt;wsp:rsid wsp:val=&quot;00FB7558&quot;/&gt;&lt;wsp:rsid wsp:val=&quot;00FD42C0&quot;/&gt;&lt;wsp:rsid wsp:val=&quot;00FF05FD&quot;/&gt;&lt;wsp:rsid wsp:val=&quot;00FF09AB&quot;/&gt;&lt;wsp:rsid wsp:val=&quot;00FF1456&quot;/&gt;&lt;wsp:rsid wsp:val=&quot;00FF5C94&quot;/&gt;&lt;wsp:rsid wsp:val=&quot;00FF6A4D&quot;/&gt;&lt;/wsp:rsids&gt;&lt;/w:docPr&gt;&lt;w:body&gt;&lt;wx:sect&gt;&lt;w:p wsp:rsidR=&quot;00000000&quot; wsp:rsidRDefault=&quot;003A2612&quot; wsp:rsidP=&quot;003A2612&quot;&gt;&lt;m:oMathPara&gt;&lt;m:oMath&gt;&lt;m:r&gt;&lt;m:rPr&gt;&lt;m:sty m:val=&quot;p&quot;/&gt;&lt;/m:rPr&gt;&lt;w:rPr&gt;&lt;w:rFonts w:ascii=&quot;Cambria Math&quot; w:h-ansi=&quot;Cambria Math&quot; w:cs=&quot;Times New Roman&quot;/&gt;&lt;wx:font wx:val=&quot;Cambria Math&quot;/&gt;&lt;/w:rPr&gt;&lt;m:t&gt;Р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754869">
              <w:rPr>
                <w:rFonts w:ascii="Times New Roman" w:hAnsi="Times New Roman" w:cs="Times New Roman"/>
              </w:rPr>
              <w:instrText xml:space="preserve"> </w:instrText>
            </w:r>
            <w:r w:rsidRPr="00754869">
              <w:rPr>
                <w:rFonts w:ascii="Times New Roman" w:hAnsi="Times New Roman" w:cs="Times New Roman"/>
              </w:rPr>
              <w:fldChar w:fldCharType="separate"/>
            </w:r>
            <w:r w:rsidR="00037924">
              <w:rPr>
                <w:position w:val="-9"/>
              </w:rPr>
              <w:pict>
                <v:shape id="_x0000_i1028" type="#_x0000_t75" style="width:6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efaultTabStop w:val=&quot;708&quot;/&gt;&lt;w:doNotHyphenateCaps/&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935E03&quot;/&gt;&lt;wsp:rsid wsp:val=&quot;000013D3&quot;/&gt;&lt;wsp:rsid wsp:val=&quot;000104D5&quot;/&gt;&lt;wsp:rsid wsp:val=&quot;00016AD6&quot;/&gt;&lt;wsp:rsid wsp:val=&quot;00016EA2&quot;/&gt;&lt;wsp:rsid wsp:val=&quot;00036B93&quot;/&gt;&lt;wsp:rsid wsp:val=&quot;0005565D&quot;/&gt;&lt;wsp:rsid wsp:val=&quot;00063F85&quot;/&gt;&lt;wsp:rsid wsp:val=&quot;00082458&quot;/&gt;&lt;wsp:rsid wsp:val=&quot;00087EF8&quot;/&gt;&lt;wsp:rsid wsp:val=&quot;00095E64&quot;/&gt;&lt;wsp:rsid wsp:val=&quot;000A2D8F&quot;/&gt;&lt;wsp:rsid wsp:val=&quot;000A38F1&quot;/&gt;&lt;wsp:rsid wsp:val=&quot;000B03CA&quot;/&gt;&lt;wsp:rsid wsp:val=&quot;000B2510&quot;/&gt;&lt;wsp:rsid wsp:val=&quot;000C094F&quot;/&gt;&lt;wsp:rsid wsp:val=&quot;000C286F&quot;/&gt;&lt;wsp:rsid wsp:val=&quot;000D27F8&quot;/&gt;&lt;wsp:rsid wsp:val=&quot;000D7F93&quot;/&gt;&lt;wsp:rsid wsp:val=&quot;000E7F40&quot;/&gt;&lt;wsp:rsid wsp:val=&quot;0011624E&quot;/&gt;&lt;wsp:rsid wsp:val=&quot;00121E46&quot;/&gt;&lt;wsp:rsid wsp:val=&quot;001243A8&quot;/&gt;&lt;wsp:rsid wsp:val=&quot;001270DA&quot;/&gt;&lt;wsp:rsid wsp:val=&quot;00135B40&quot;/&gt;&lt;wsp:rsid wsp:val=&quot;001436F0&quot;/&gt;&lt;wsp:rsid wsp:val=&quot;001439AB&quot;/&gt;&lt;wsp:rsid wsp:val=&quot;00152E4E&quot;/&gt;&lt;wsp:rsid wsp:val=&quot;001618CD&quot;/&gt;&lt;wsp:rsid wsp:val=&quot;00162268&quot;/&gt;&lt;wsp:rsid wsp:val=&quot;00183051&quot;/&gt;&lt;wsp:rsid wsp:val=&quot;00197730&quot;/&gt;&lt;wsp:rsid wsp:val=&quot;001C5203&quot;/&gt;&lt;wsp:rsid wsp:val=&quot;001F3465&quot;/&gt;&lt;wsp:rsid wsp:val=&quot;001F707F&quot;/&gt;&lt;wsp:rsid wsp:val=&quot;00205DF2&quot;/&gt;&lt;wsp:rsid wsp:val=&quot;00220CDB&quot;/&gt;&lt;wsp:rsid wsp:val=&quot;00225A67&quot;/&gt;&lt;wsp:rsid wsp:val=&quot;00235CCF&quot;/&gt;&lt;wsp:rsid wsp:val=&quot;00236DA5&quot;/&gt;&lt;wsp:rsid wsp:val=&quot;00261D24&quot;/&gt;&lt;wsp:rsid wsp:val=&quot;00263703&quot;/&gt;&lt;wsp:rsid wsp:val=&quot;0027369E&quot;/&gt;&lt;wsp:rsid wsp:val=&quot;00295109&quot;/&gt;&lt;wsp:rsid wsp:val=&quot;002976E2&quot;/&gt;&lt;wsp:rsid wsp:val=&quot;002B7CE3&quot;/&gt;&lt;wsp:rsid wsp:val=&quot;002D1BF1&quot;/&gt;&lt;wsp:rsid wsp:val=&quot;002E420F&quot;/&gt;&lt;wsp:rsid wsp:val=&quot;002F77D5&quot;/&gt;&lt;wsp:rsid wsp:val=&quot;0030643B&quot;/&gt;&lt;wsp:rsid wsp:val=&quot;00314436&quot;/&gt;&lt;wsp:rsid wsp:val=&quot;00317AB1&quot;/&gt;&lt;wsp:rsid wsp:val=&quot;00322F1B&quot;/&gt;&lt;wsp:rsid wsp:val=&quot;00371A8E&quot;/&gt;&lt;wsp:rsid wsp:val=&quot;003841EC&quot;/&gt;&lt;wsp:rsid wsp:val=&quot;00395777&quot;/&gt;&lt;wsp:rsid wsp:val=&quot;003A2612&quot;/&gt;&lt;wsp:rsid wsp:val=&quot;003A2F30&quot;/&gt;&lt;wsp:rsid wsp:val=&quot;003A6305&quot;/&gt;&lt;wsp:rsid wsp:val=&quot;003C7956&quot;/&gt;&lt;wsp:rsid wsp:val=&quot;003E21DD&quot;/&gt;&lt;wsp:rsid wsp:val=&quot;003E4E5C&quot;/&gt;&lt;wsp:rsid wsp:val=&quot;003F13FA&quot;/&gt;&lt;wsp:rsid wsp:val=&quot;003F23B3&quot;/&gt;&lt;wsp:rsid wsp:val=&quot;00412E30&quot;/&gt;&lt;wsp:rsid wsp:val=&quot;00415A32&quot;/&gt;&lt;wsp:rsid wsp:val=&quot;00424095&quot;/&gt;&lt;wsp:rsid wsp:val=&quot;00426831&quot;/&gt;&lt;wsp:rsid wsp:val=&quot;00440C27&quot;/&gt;&lt;wsp:rsid wsp:val=&quot;004513CD&quot;/&gt;&lt;wsp:rsid wsp:val=&quot;00476DB0&quot;/&gt;&lt;wsp:rsid wsp:val=&quot;004913A9&quot;/&gt;&lt;wsp:rsid wsp:val=&quot;004A22BF&quot;/&gt;&lt;wsp:rsid wsp:val=&quot;004A2EF0&quot;/&gt;&lt;wsp:rsid wsp:val=&quot;004C710B&quot;/&gt;&lt;wsp:rsid wsp:val=&quot;004C7237&quot;/&gt;&lt;wsp:rsid wsp:val=&quot;004D207B&quot;/&gt;&lt;wsp:rsid wsp:val=&quot;004E5F21&quot;/&gt;&lt;wsp:rsid wsp:val=&quot;004F7AAE&quot;/&gt;&lt;wsp:rsid wsp:val=&quot;00501912&quot;/&gt;&lt;wsp:rsid wsp:val=&quot;0051062F&quot;/&gt;&lt;wsp:rsid wsp:val=&quot;00511435&quot;/&gt;&lt;wsp:rsid wsp:val=&quot;00514082&quot;/&gt;&lt;wsp:rsid wsp:val=&quot;0052775D&quot;/&gt;&lt;wsp:rsid wsp:val=&quot;0054660D&quot;/&gt;&lt;wsp:rsid wsp:val=&quot;005630C1&quot;/&gt;&lt;wsp:rsid wsp:val=&quot;00583584&quot;/&gt;&lt;wsp:rsid wsp:val=&quot;005A5F08&quot;/&gt;&lt;wsp:rsid wsp:val=&quot;005A62EA&quot;/&gt;&lt;wsp:rsid wsp:val=&quot;005A7D68&quot;/&gt;&lt;wsp:rsid wsp:val=&quot;005D6C6C&quot;/&gt;&lt;wsp:rsid wsp:val=&quot;005D76AD&quot;/&gt;&lt;wsp:rsid wsp:val=&quot;005F39AE&quot;/&gt;&lt;wsp:rsid wsp:val=&quot;006027B6&quot;/&gt;&lt;wsp:rsid wsp:val=&quot;0060511E&quot;/&gt;&lt;wsp:rsid wsp:val=&quot;00625ACB&quot;/&gt;&lt;wsp:rsid wsp:val=&quot;00630665&quot;/&gt;&lt;wsp:rsid wsp:val=&quot;0064648C&quot;/&gt;&lt;wsp:rsid wsp:val=&quot;006A3A24&quot;/&gt;&lt;wsp:rsid wsp:val=&quot;006A6CB8&quot;/&gt;&lt;wsp:rsid wsp:val=&quot;006C15F2&quot;/&gt;&lt;wsp:rsid wsp:val=&quot;006C1C79&quot;/&gt;&lt;wsp:rsid wsp:val=&quot;006C2BFF&quot;/&gt;&lt;wsp:rsid wsp:val=&quot;006C3872&quot;/&gt;&lt;wsp:rsid wsp:val=&quot;006C4C56&quot;/&gt;&lt;wsp:rsid wsp:val=&quot;006E6280&quot;/&gt;&lt;wsp:rsid wsp:val=&quot;006E678E&quot;/&gt;&lt;wsp:rsid wsp:val=&quot;006F3365&quot;/&gt;&lt;wsp:rsid wsp:val=&quot;006F6FD9&quot;/&gt;&lt;wsp:rsid wsp:val=&quot;00702C68&quot;/&gt;&lt;wsp:rsid wsp:val=&quot;00712A4B&quot;/&gt;&lt;wsp:rsid wsp:val=&quot;00721DE9&quot;/&gt;&lt;wsp:rsid wsp:val=&quot;00732774&quot;/&gt;&lt;wsp:rsid wsp:val=&quot;00735BED&quot;/&gt;&lt;wsp:rsid wsp:val=&quot;00752EC3&quot;/&gt;&lt;wsp:rsid wsp:val=&quot;00753F6A&quot;/&gt;&lt;wsp:rsid wsp:val=&quot;00754869&quot;/&gt;&lt;wsp:rsid wsp:val=&quot;00755F8B&quot;/&gt;&lt;wsp:rsid wsp:val=&quot;00761CAA&quot;/&gt;&lt;wsp:rsid wsp:val=&quot;0079533B&quot;/&gt;&lt;wsp:rsid wsp:val=&quot;007B0D68&quot;/&gt;&lt;wsp:rsid wsp:val=&quot;007C32CD&quot;/&gt;&lt;wsp:rsid wsp:val=&quot;007C5872&quot;/&gt;&lt;wsp:rsid wsp:val=&quot;007D5F8F&quot;/&gt;&lt;wsp:rsid wsp:val=&quot;007F4520&quot;/&gt;&lt;wsp:rsid wsp:val=&quot;00803332&quot;/&gt;&lt;wsp:rsid wsp:val=&quot;00816E8D&quot;/&gt;&lt;wsp:rsid wsp:val=&quot;00830609&quot;/&gt;&lt;wsp:rsid wsp:val=&quot;00843945&quot;/&gt;&lt;wsp:rsid wsp:val=&quot;00852CB4&quot;/&gt;&lt;wsp:rsid wsp:val=&quot;00854C5C&quot;/&gt;&lt;wsp:rsid wsp:val=&quot;00865A24&quot;/&gt;&lt;wsp:rsid wsp:val=&quot;00867454&quot;/&gt;&lt;wsp:rsid wsp:val=&quot;00873348&quot;/&gt;&lt;wsp:rsid wsp:val=&quot;00873872&quot;/&gt;&lt;wsp:rsid wsp:val=&quot;00882558&quot;/&gt;&lt;wsp:rsid wsp:val=&quot;00890852&quot;/&gt;&lt;wsp:rsid wsp:val=&quot;008D5588&quot;/&gt;&lt;wsp:rsid wsp:val=&quot;008E0801&quot;/&gt;&lt;wsp:rsid wsp:val=&quot;008E1591&quot;/&gt;&lt;wsp:rsid wsp:val=&quot;008E33AE&quot;/&gt;&lt;wsp:rsid wsp:val=&quot;008F0FAE&quot;/&gt;&lt;wsp:rsid wsp:val=&quot;008F63C8&quot;/&gt;&lt;wsp:rsid wsp:val=&quot;0090640A&quot;/&gt;&lt;wsp:rsid wsp:val=&quot;00922310&quot;/&gt;&lt;wsp:rsid wsp:val=&quot;00925923&quot;/&gt;&lt;wsp:rsid wsp:val=&quot;00935E03&quot;/&gt;&lt;wsp:rsid wsp:val=&quot;00935F74&quot;/&gt;&lt;wsp:rsid wsp:val=&quot;00953508&quot;/&gt;&lt;wsp:rsid wsp:val=&quot;00956DD8&quot;/&gt;&lt;wsp:rsid wsp:val=&quot;00971949&quot;/&gt;&lt;wsp:rsid wsp:val=&quot;00985A46&quot;/&gt;&lt;wsp:rsid wsp:val=&quot;00987757&quot;/&gt;&lt;wsp:rsid wsp:val=&quot;00996D36&quot;/&gt;&lt;wsp:rsid wsp:val=&quot;009A623F&quot;/&gt;&lt;wsp:rsid wsp:val=&quot;009C709F&quot;/&gt;&lt;wsp:rsid wsp:val=&quot;009D491F&quot;/&gt;&lt;wsp:rsid wsp:val=&quot;009D4D7E&quot;/&gt;&lt;wsp:rsid wsp:val=&quot;009D4F3D&quot;/&gt;&lt;wsp:rsid wsp:val=&quot;009E46B2&quot;/&gt;&lt;wsp:rsid wsp:val=&quot;009F499F&quot;/&gt;&lt;wsp:rsid wsp:val=&quot;00A12F67&quot;/&gt;&lt;wsp:rsid wsp:val=&quot;00A20650&quot;/&gt;&lt;wsp:rsid wsp:val=&quot;00A24035&quot;/&gt;&lt;wsp:rsid wsp:val=&quot;00A335DE&quot;/&gt;&lt;wsp:rsid wsp:val=&quot;00A4564A&quot;/&gt;&lt;wsp:rsid wsp:val=&quot;00A6465E&quot;/&gt;&lt;wsp:rsid wsp:val=&quot;00A67FE3&quot;/&gt;&lt;wsp:rsid wsp:val=&quot;00A77550&quot;/&gt;&lt;wsp:rsid wsp:val=&quot;00A84B73&quot;/&gt;&lt;wsp:rsid wsp:val=&quot;00A85E51&quot;/&gt;&lt;wsp:rsid wsp:val=&quot;00A956A4&quot;/&gt;&lt;wsp:rsid wsp:val=&quot;00AA5766&quot;/&gt;&lt;wsp:rsid wsp:val=&quot;00AA5BA9&quot;/&gt;&lt;wsp:rsid wsp:val=&quot;00AB3770&quot;/&gt;&lt;wsp:rsid wsp:val=&quot;00AB4F9C&quot;/&gt;&lt;wsp:rsid wsp:val=&quot;00AC0568&quot;/&gt;&lt;wsp:rsid wsp:val=&quot;00AC3AAB&quot;/&gt;&lt;wsp:rsid wsp:val=&quot;00AD6A80&quot;/&gt;&lt;wsp:rsid wsp:val=&quot;00AE5A4B&quot;/&gt;&lt;wsp:rsid wsp:val=&quot;00AE64C1&quot;/&gt;&lt;wsp:rsid wsp:val=&quot;00AE7DA5&quot;/&gt;&lt;wsp:rsid wsp:val=&quot;00B1465A&quot;/&gt;&lt;wsp:rsid wsp:val=&quot;00B35DA8&quot;/&gt;&lt;wsp:rsid wsp:val=&quot;00B5163B&quot;/&gt;&lt;wsp:rsid wsp:val=&quot;00B70B92&quot;/&gt;&lt;wsp:rsid wsp:val=&quot;00B73B49&quot;/&gt;&lt;wsp:rsid wsp:val=&quot;00B774E3&quot;/&gt;&lt;wsp:rsid wsp:val=&quot;00B90ADC&quot;/&gt;&lt;wsp:rsid wsp:val=&quot;00B94988&quot;/&gt;&lt;wsp:rsid wsp:val=&quot;00B957FA&quot;/&gt;&lt;wsp:rsid wsp:val=&quot;00BA3EFA&quot;/&gt;&lt;wsp:rsid wsp:val=&quot;00BD009C&quot;/&gt;&lt;wsp:rsid wsp:val=&quot;00BE14BA&quot;/&gt;&lt;wsp:rsid wsp:val=&quot;00BE48E8&quot;/&gt;&lt;wsp:rsid wsp:val=&quot;00BF7284&quot;/&gt;&lt;wsp:rsid wsp:val=&quot;00C23948&quot;/&gt;&lt;wsp:rsid wsp:val=&quot;00C242CE&quot;/&gt;&lt;wsp:rsid wsp:val=&quot;00C3589F&quot;/&gt;&lt;wsp:rsid wsp:val=&quot;00C37DF5&quot;/&gt;&lt;wsp:rsid wsp:val=&quot;00C5682C&quot;/&gt;&lt;wsp:rsid wsp:val=&quot;00C90861&quot;/&gt;&lt;wsp:rsid wsp:val=&quot;00CA61FD&quot;/&gt;&lt;wsp:rsid wsp:val=&quot;00CB1E8F&quot;/&gt;&lt;wsp:rsid wsp:val=&quot;00CB7040&quot;/&gt;&lt;wsp:rsid wsp:val=&quot;00CD6B35&quot;/&gt;&lt;wsp:rsid wsp:val=&quot;00CF0D18&quot;/&gt;&lt;wsp:rsid wsp:val=&quot;00CF22E6&quot;/&gt;&lt;wsp:rsid wsp:val=&quot;00CF3CBA&quot;/&gt;&lt;wsp:rsid wsp:val=&quot;00CF6811&quot;/&gt;&lt;wsp:rsid wsp:val=&quot;00D26C6D&quot;/&gt;&lt;wsp:rsid wsp:val=&quot;00D554AA&quot;/&gt;&lt;wsp:rsid wsp:val=&quot;00D65439&quot;/&gt;&lt;wsp:rsid wsp:val=&quot;00D75872&quot;/&gt;&lt;wsp:rsid wsp:val=&quot;00D81A43&quot;/&gt;&lt;wsp:rsid wsp:val=&quot;00D83B7E&quot;/&gt;&lt;wsp:rsid wsp:val=&quot;00D90A76&quot;/&gt;&lt;wsp:rsid wsp:val=&quot;00DB32AF&quot;/&gt;&lt;wsp:rsid wsp:val=&quot;00DC6126&quot;/&gt;&lt;wsp:rsid wsp:val=&quot;00DC7EAB&quot;/&gt;&lt;wsp:rsid wsp:val=&quot;00DD73E0&quot;/&gt;&lt;wsp:rsid wsp:val=&quot;00DE576E&quot;/&gt;&lt;wsp:rsid wsp:val=&quot;00DE73BE&quot;/&gt;&lt;wsp:rsid wsp:val=&quot;00DF36FF&quot;/&gt;&lt;wsp:rsid wsp:val=&quot;00E00ED9&quot;/&gt;&lt;wsp:rsid wsp:val=&quot;00E04F4F&quot;/&gt;&lt;wsp:rsid wsp:val=&quot;00E06821&quot;/&gt;&lt;wsp:rsid wsp:val=&quot;00E15199&quot;/&gt;&lt;wsp:rsid wsp:val=&quot;00E50004&quot;/&gt;&lt;wsp:rsid wsp:val=&quot;00E56A2A&quot;/&gt;&lt;wsp:rsid wsp:val=&quot;00E713A8&quot;/&gt;&lt;wsp:rsid wsp:val=&quot;00E72EB3&quot;/&gt;&lt;wsp:rsid wsp:val=&quot;00E9403C&quot;/&gt;&lt;wsp:rsid wsp:val=&quot;00EB0E29&quot;/&gt;&lt;wsp:rsid wsp:val=&quot;00EB0E44&quot;/&gt;&lt;wsp:rsid wsp:val=&quot;00EC1DE7&quot;/&gt;&lt;wsp:rsid wsp:val=&quot;00ED44E4&quot;/&gt;&lt;wsp:rsid wsp:val=&quot;00ED4F43&quot;/&gt;&lt;wsp:rsid wsp:val=&quot;00EF045C&quot;/&gt;&lt;wsp:rsid wsp:val=&quot;00F15B39&quot;/&gt;&lt;wsp:rsid wsp:val=&quot;00F16DDF&quot;/&gt;&lt;wsp:rsid wsp:val=&quot;00F17C4A&quot;/&gt;&lt;wsp:rsid wsp:val=&quot;00F2137B&quot;/&gt;&lt;wsp:rsid wsp:val=&quot;00F217A0&quot;/&gt;&lt;wsp:rsid wsp:val=&quot;00F35FA4&quot;/&gt;&lt;wsp:rsid wsp:val=&quot;00F36346&quot;/&gt;&lt;wsp:rsid wsp:val=&quot;00F413E5&quot;/&gt;&lt;wsp:rsid wsp:val=&quot;00F9105D&quot;/&gt;&lt;wsp:rsid wsp:val=&quot;00FA2075&quot;/&gt;&lt;wsp:rsid wsp:val=&quot;00FB41C4&quot;/&gt;&lt;wsp:rsid wsp:val=&quot;00FB604E&quot;/&gt;&lt;wsp:rsid wsp:val=&quot;00FB7558&quot;/&gt;&lt;wsp:rsid wsp:val=&quot;00FD42C0&quot;/&gt;&lt;wsp:rsid wsp:val=&quot;00FF05FD&quot;/&gt;&lt;wsp:rsid wsp:val=&quot;00FF09AB&quot;/&gt;&lt;wsp:rsid wsp:val=&quot;00FF1456&quot;/&gt;&lt;wsp:rsid wsp:val=&quot;00FF5C94&quot;/&gt;&lt;wsp:rsid wsp:val=&quot;00FF6A4D&quot;/&gt;&lt;/wsp:rsids&gt;&lt;/w:docPr&gt;&lt;w:body&gt;&lt;wx:sect&gt;&lt;w:p wsp:rsidR=&quot;00000000&quot; wsp:rsidRDefault=&quot;003A2612&quot; wsp:rsidP=&quot;003A2612&quot;&gt;&lt;m:oMathPara&gt;&lt;m:oMath&gt;&lt;m:r&gt;&lt;m:rPr&gt;&lt;m:sty m:val=&quot;p&quot;/&gt;&lt;/m:rPr&gt;&lt;w:rPr&gt;&lt;w:rFonts w:ascii=&quot;Cambria Math&quot; w:h-ansi=&quot;Cambria Math&quot; w:cs=&quot;Times New Roman&quot;/&gt;&lt;wx:font wx:val=&quot;Cambria Math&quot;/&gt;&lt;/w:rPr&gt;&lt;m:t&gt;Р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754869">
              <w:rPr>
                <w:rFonts w:ascii="Times New Roman" w:hAnsi="Times New Roman" w:cs="Times New Roman"/>
              </w:rPr>
              <w:fldChar w:fldCharType="end"/>
            </w:r>
            <w:r w:rsidRPr="00754869">
              <w:rPr>
                <w:rFonts w:ascii="Times New Roman" w:hAnsi="Times New Roman" w:cs="Times New Roman"/>
              </w:rPr>
              <w:t>) = 1, если нарушений не выявлено.</w:t>
            </w:r>
          </w:p>
          <w:p w:rsidR="00754869" w:rsidRPr="00754869" w:rsidRDefault="00754869" w:rsidP="00754869">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показатель отражает качество финансовой дисциплины ГАБС в сфере закупок, а также надежность внутреннего финансового контроля ГАБС в отношении расходов на финансовое обеспечение деятельности ГАБС. </w:t>
            </w:r>
          </w:p>
        </w:tc>
      </w:tr>
      <w:tr w:rsidR="00754869" w:rsidRPr="00E63296" w:rsidTr="008932D2">
        <w:trPr>
          <w:trHeight w:val="533"/>
        </w:trPr>
        <w:tc>
          <w:tcPr>
            <w:tcW w:w="8080" w:type="dxa"/>
            <w:gridSpan w:val="5"/>
            <w:tcBorders>
              <w:top w:val="single" w:sz="4" w:space="0" w:color="auto"/>
              <w:left w:val="single" w:sz="4" w:space="0" w:color="auto"/>
              <w:bottom w:val="single" w:sz="4" w:space="0" w:color="auto"/>
              <w:right w:val="single" w:sz="4" w:space="0" w:color="auto"/>
            </w:tcBorders>
          </w:tcPr>
          <w:p w:rsidR="00754869" w:rsidRPr="00E63296" w:rsidRDefault="00754869" w:rsidP="00754869">
            <w:pPr>
              <w:spacing w:before="120" w:after="0" w:line="240" w:lineRule="exact"/>
              <w:rPr>
                <w:rFonts w:ascii="Times New Roman" w:hAnsi="Times New Roman" w:cs="Times New Roman"/>
                <w:b/>
                <w:sz w:val="24"/>
                <w:szCs w:val="24"/>
              </w:rPr>
            </w:pPr>
            <w:r w:rsidRPr="00E63296">
              <w:rPr>
                <w:rFonts w:ascii="Times New Roman" w:hAnsi="Times New Roman" w:cs="Times New Roman"/>
                <w:b/>
                <w:snapToGrid w:val="0"/>
              </w:rPr>
              <w:t>3. Учет и отчетность</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E63296" w:rsidRDefault="00754869" w:rsidP="00754869">
            <w:pPr>
              <w:spacing w:before="120" w:after="0" w:line="240" w:lineRule="exact"/>
              <w:jc w:val="center"/>
              <w:rPr>
                <w:rFonts w:ascii="Times New Roman" w:hAnsi="Times New Roman" w:cs="Times New Roman"/>
                <w:b/>
                <w:sz w:val="24"/>
                <w:szCs w:val="24"/>
              </w:rPr>
            </w:pPr>
            <w:r w:rsidRPr="00E63296">
              <w:rPr>
                <w:rFonts w:ascii="Times New Roman" w:hAnsi="Times New Roman" w:cs="Times New Roman"/>
                <w:b/>
              </w:rPr>
              <w:t>15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E63296" w:rsidRDefault="00754869" w:rsidP="00754869">
            <w:pPr>
              <w:spacing w:before="120" w:after="0" w:line="240" w:lineRule="exact"/>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E63296" w:rsidRDefault="00754869" w:rsidP="00754869">
            <w:pPr>
              <w:spacing w:before="120" w:after="0" w:line="240" w:lineRule="exact"/>
              <w:jc w:val="both"/>
              <w:rPr>
                <w:rFonts w:ascii="Times New Roman" w:hAnsi="Times New Roman" w:cs="Times New Roman"/>
                <w:b/>
                <w:sz w:val="24"/>
                <w:szCs w:val="24"/>
                <w:highlight w:val="yellow"/>
              </w:rPr>
            </w:pPr>
          </w:p>
        </w:tc>
      </w:tr>
      <w:tr w:rsidR="00754869" w:rsidRPr="00754869" w:rsidTr="008932D2">
        <w:trPr>
          <w:trHeight w:val="199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3.1.</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 xml:space="preserve">Соблюдение установленных Финансовым управлением сроков представления ГАБС годовой отчетности </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position w:val="-10"/>
                <w:sz w:val="24"/>
                <w:szCs w:val="24"/>
                <w:vertAlign w:val="subscript"/>
              </w:rPr>
            </w:pPr>
            <w:r w:rsidRPr="00754869">
              <w:rPr>
                <w:rFonts w:ascii="Times New Roman" w:hAnsi="Times New Roman" w:cs="Times New Roman"/>
                <w:position w:val="-10"/>
              </w:rPr>
              <w:t xml:space="preserve"> </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соблюдение установленных Финансовым управлением сроков представления ГАБС годовой бюджетной отчетности</w:t>
            </w:r>
            <w:r w:rsidRPr="00754869">
              <w:rPr>
                <w:rFonts w:ascii="Times New Roman" w:hAnsi="Times New Roman" w:cs="Times New Roman"/>
                <w:snapToGrid w:val="0"/>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да/нет</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100</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 xml:space="preserve"> = 1, в случае своевременного представления в Финансовое управление годовой отчетности.</w:t>
            </w:r>
          </w:p>
          <w:p w:rsidR="00754869" w:rsidRPr="00754869" w:rsidRDefault="00754869" w:rsidP="00754869">
            <w:pPr>
              <w:autoSpaceDE w:val="0"/>
              <w:autoSpaceDN w:val="0"/>
              <w:adjustRightInd w:val="0"/>
              <w:spacing w:before="120" w:after="0" w:line="240" w:lineRule="exact"/>
              <w:jc w:val="both"/>
              <w:rPr>
                <w:rFonts w:ascii="Times New Roman" w:hAnsi="Times New Roman" w:cs="Times New Roman"/>
                <w:snapToGrid w:val="0"/>
                <w:position w:val="-44"/>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 0, в случае несвоевременного представления годовой отчетности</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показатель отражает своевременность представления отчета и уровень качества его подготовки. </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Целевым ориентиром для ГАБС является значение показателя, равное 1. </w:t>
            </w:r>
          </w:p>
        </w:tc>
      </w:tr>
      <w:tr w:rsidR="00754869" w:rsidRPr="00E63296" w:rsidTr="008932D2">
        <w:trPr>
          <w:trHeight w:val="695"/>
        </w:trPr>
        <w:tc>
          <w:tcPr>
            <w:tcW w:w="8080" w:type="dxa"/>
            <w:gridSpan w:val="5"/>
            <w:tcBorders>
              <w:top w:val="single" w:sz="4" w:space="0" w:color="auto"/>
              <w:left w:val="single" w:sz="4" w:space="0" w:color="auto"/>
              <w:bottom w:val="single" w:sz="4" w:space="0" w:color="auto"/>
              <w:right w:val="single" w:sz="4" w:space="0" w:color="auto"/>
            </w:tcBorders>
          </w:tcPr>
          <w:p w:rsidR="00754869" w:rsidRPr="00E63296" w:rsidRDefault="00754869" w:rsidP="00E63296">
            <w:pPr>
              <w:spacing w:before="240" w:after="0" w:line="240" w:lineRule="exact"/>
              <w:rPr>
                <w:rFonts w:ascii="Times New Roman" w:hAnsi="Times New Roman" w:cs="Times New Roman"/>
                <w:b/>
                <w:snapToGrid w:val="0"/>
                <w:sz w:val="24"/>
                <w:szCs w:val="24"/>
              </w:rPr>
            </w:pPr>
            <w:r w:rsidRPr="00E63296">
              <w:rPr>
                <w:rFonts w:ascii="Times New Roman" w:hAnsi="Times New Roman" w:cs="Times New Roman"/>
                <w:b/>
                <w:snapToGrid w:val="0"/>
              </w:rPr>
              <w:t>4. Контроль и аудит</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E63296" w:rsidRDefault="00754869" w:rsidP="00E63296">
            <w:pPr>
              <w:spacing w:after="0" w:line="240" w:lineRule="auto"/>
              <w:jc w:val="center"/>
              <w:rPr>
                <w:rFonts w:ascii="Times New Roman" w:hAnsi="Times New Roman" w:cs="Times New Roman"/>
                <w:b/>
                <w:sz w:val="24"/>
                <w:szCs w:val="24"/>
              </w:rPr>
            </w:pPr>
            <w:r w:rsidRPr="00E63296">
              <w:rPr>
                <w:rFonts w:ascii="Times New Roman" w:hAnsi="Times New Roman" w:cs="Times New Roman"/>
                <w:b/>
              </w:rPr>
              <w:t>20</w:t>
            </w:r>
          </w:p>
        </w:tc>
        <w:tc>
          <w:tcPr>
            <w:tcW w:w="2835" w:type="dxa"/>
            <w:tcBorders>
              <w:top w:val="single" w:sz="4" w:space="0" w:color="auto"/>
              <w:left w:val="single" w:sz="4" w:space="0" w:color="auto"/>
              <w:bottom w:val="single" w:sz="4" w:space="0" w:color="auto"/>
              <w:right w:val="single" w:sz="4" w:space="0" w:color="auto"/>
            </w:tcBorders>
          </w:tcPr>
          <w:p w:rsidR="00754869" w:rsidRPr="00E63296" w:rsidRDefault="00754869" w:rsidP="00E63296">
            <w:pPr>
              <w:spacing w:after="0" w:line="240" w:lineRule="auto"/>
              <w:jc w:val="both"/>
              <w:rPr>
                <w:rFonts w:ascii="Times New Roman" w:hAnsi="Times New Roman" w:cs="Times New Roman"/>
                <w:b/>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754869" w:rsidRPr="00E63296" w:rsidRDefault="00754869" w:rsidP="00E63296">
            <w:pPr>
              <w:spacing w:after="0" w:line="240" w:lineRule="auto"/>
              <w:jc w:val="both"/>
              <w:rPr>
                <w:rFonts w:ascii="Times New Roman" w:hAnsi="Times New Roman" w:cs="Times New Roman"/>
                <w:b/>
                <w:sz w:val="24"/>
                <w:szCs w:val="24"/>
              </w:rPr>
            </w:pPr>
          </w:p>
        </w:tc>
      </w:tr>
      <w:tr w:rsidR="00754869" w:rsidRPr="00754869" w:rsidTr="00E63296">
        <w:trPr>
          <w:trHeight w:val="3100"/>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4.1.</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both"/>
              <w:rPr>
                <w:rFonts w:ascii="Times New Roman" w:hAnsi="Times New Roman" w:cs="Times New Roman"/>
                <w:snapToGrid w:val="0"/>
                <w:color w:val="000000"/>
                <w:sz w:val="24"/>
                <w:szCs w:val="24"/>
              </w:rPr>
            </w:pPr>
            <w:r w:rsidRPr="00754869">
              <w:rPr>
                <w:rFonts w:ascii="Times New Roman" w:hAnsi="Times New Roman" w:cs="Times New Roman"/>
                <w:snapToGrid w:val="0"/>
                <w:color w:val="000000"/>
              </w:rPr>
              <w:t>Наличие представлений и (или) предписаний в отношении ГАБС по фактам выявленных нарушений по результатам проверок органов внутреннего государственного (муниципального) финансового контроля, внешнего государственного (муниципального)  финансового контроля</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both"/>
              <w:rPr>
                <w:rFonts w:ascii="Times New Roman" w:hAnsi="Times New Roman" w:cs="Times New Roman"/>
                <w:snapToGrid w:val="0"/>
                <w:color w:val="000000"/>
                <w:sz w:val="24"/>
                <w:szCs w:val="24"/>
              </w:rPr>
            </w:pPr>
            <w:r w:rsidRPr="00754869">
              <w:rPr>
                <w:rFonts w:ascii="Times New Roman" w:hAnsi="Times New Roman" w:cs="Times New Roman"/>
                <w:snapToGrid w:val="0"/>
                <w:color w:val="000000"/>
              </w:rPr>
              <w:t>При расчете показателя оценивается наличие представлений и (или) предписаний по фактам выявленных нарушений по результатам проверок органов финансового контроля</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r w:rsidRPr="00754869">
              <w:rPr>
                <w:rFonts w:ascii="Times New Roman" w:hAnsi="Times New Roman" w:cs="Times New Roman"/>
              </w:rPr>
              <w:t>да/нет</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p>
          <w:p w:rsidR="00754869" w:rsidRPr="00754869" w:rsidRDefault="00754869" w:rsidP="00E63296">
            <w:pPr>
              <w:spacing w:after="0" w:line="240" w:lineRule="auto"/>
              <w:jc w:val="center"/>
              <w:rPr>
                <w:rFonts w:ascii="Times New Roman" w:hAnsi="Times New Roman" w:cs="Times New Roman"/>
                <w:sz w:val="24"/>
                <w:szCs w:val="24"/>
              </w:rPr>
            </w:pPr>
            <w:r w:rsidRPr="00754869">
              <w:rPr>
                <w:rFonts w:ascii="Times New Roman" w:hAnsi="Times New Roman" w:cs="Times New Roman"/>
              </w:rPr>
              <w:t>25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E63296">
            <w:pPr>
              <w:spacing w:after="0" w:line="240" w:lineRule="auto"/>
              <w:jc w:val="both"/>
              <w:rPr>
                <w:rFonts w:ascii="Times New Roman" w:hAnsi="Times New Roman" w:cs="Times New Roman"/>
                <w:snapToGrid w:val="0"/>
                <w:color w:val="000000"/>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r w:rsidRPr="00754869">
              <w:rPr>
                <w:rFonts w:ascii="Times New Roman" w:hAnsi="Times New Roman" w:cs="Times New Roman"/>
                <w:lang w:val="en-US"/>
              </w:rPr>
              <w:t>P</w:t>
            </w:r>
            <w:r w:rsidRPr="00754869">
              <w:rPr>
                <w:rFonts w:ascii="Times New Roman" w:hAnsi="Times New Roman" w:cs="Times New Roman"/>
              </w:rPr>
              <w:t>)= 1, если</w:t>
            </w:r>
            <w:r w:rsidRPr="00754869">
              <w:rPr>
                <w:rFonts w:ascii="Times New Roman" w:hAnsi="Times New Roman" w:cs="Times New Roman"/>
                <w:snapToGrid w:val="0"/>
                <w:color w:val="000000"/>
              </w:rPr>
              <w:t xml:space="preserve"> по результатам проверок органов финансового контроля, не выявлено фактов нарушений.</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r w:rsidRPr="00754869">
              <w:rPr>
                <w:rFonts w:ascii="Times New Roman" w:hAnsi="Times New Roman" w:cs="Times New Roman"/>
                <w:lang w:val="en-US"/>
              </w:rPr>
              <w:t>P</w:t>
            </w:r>
            <w:r w:rsidRPr="00754869">
              <w:rPr>
                <w:rFonts w:ascii="Times New Roman" w:hAnsi="Times New Roman" w:cs="Times New Roman"/>
              </w:rPr>
              <w:t xml:space="preserve">) = 0, если присутствуют </w:t>
            </w:r>
            <w:r w:rsidRPr="00754869">
              <w:rPr>
                <w:rFonts w:ascii="Times New Roman" w:hAnsi="Times New Roman" w:cs="Times New Roman"/>
                <w:snapToGrid w:val="0"/>
                <w:color w:val="000000"/>
              </w:rPr>
              <w:t>предписания по фактам выявленных нарушений по результатам проверок органов финансового контроля</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положительное значение показателя свидетельствует об отсутствии нарушений при осуществлении органами </w:t>
            </w:r>
            <w:r w:rsidRPr="00754869">
              <w:rPr>
                <w:rFonts w:ascii="Times New Roman" w:hAnsi="Times New Roman" w:cs="Times New Roman"/>
                <w:snapToGrid w:val="0"/>
                <w:color w:val="000000"/>
              </w:rPr>
              <w:t>финансового контроля проверок</w:t>
            </w:r>
          </w:p>
        </w:tc>
      </w:tr>
      <w:tr w:rsidR="00754869" w:rsidRPr="00754869" w:rsidTr="008932D2">
        <w:trPr>
          <w:trHeight w:val="317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4.2.</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exact"/>
              <w:jc w:val="both"/>
              <w:rPr>
                <w:rFonts w:ascii="Times New Roman" w:hAnsi="Times New Roman" w:cs="Times New Roman"/>
                <w:sz w:val="24"/>
                <w:szCs w:val="24"/>
              </w:rPr>
            </w:pPr>
            <w:r w:rsidRPr="00754869">
              <w:rPr>
                <w:rFonts w:ascii="Times New Roman" w:hAnsi="Times New Roman" w:cs="Times New Roman"/>
              </w:rPr>
              <w:t>Своевременность представления сведений, необходимых для расчета показателей мониторинга качества финансового менеджмента, осуществляемого ГАБС</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количество дней отклонения от даты представления ГАБС в Финансовое управление сведений, необходимых для расчета показателей мониторинга качества финансового менеджмента</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E63296">
            <w:pPr>
              <w:spacing w:after="0" w:line="240" w:lineRule="exact"/>
              <w:jc w:val="center"/>
              <w:rPr>
                <w:rFonts w:ascii="Times New Roman" w:hAnsi="Times New Roman" w:cs="Times New Roman"/>
                <w:sz w:val="24"/>
                <w:szCs w:val="24"/>
              </w:rPr>
            </w:pPr>
            <w:r w:rsidRPr="00754869">
              <w:rPr>
                <w:rFonts w:ascii="Times New Roman" w:hAnsi="Times New Roman" w:cs="Times New Roman"/>
                <w:sz w:val="24"/>
                <w:szCs w:val="24"/>
              </w:rPr>
              <w:t>дней</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E63296">
            <w:pPr>
              <w:spacing w:after="0" w:line="240" w:lineRule="exact"/>
              <w:jc w:val="center"/>
              <w:rPr>
                <w:rFonts w:ascii="Times New Roman" w:hAnsi="Times New Roman" w:cs="Times New Roman"/>
                <w:sz w:val="24"/>
                <w:szCs w:val="24"/>
              </w:rPr>
            </w:pPr>
            <w:r w:rsidRPr="00754869">
              <w:rPr>
                <w:rFonts w:ascii="Times New Roman" w:hAnsi="Times New Roman" w:cs="Times New Roman"/>
              </w:rPr>
              <w:t>15</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=0, если Р= 5,</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proofErr w:type="gramStart"/>
            <w:r w:rsidRPr="00754869">
              <w:rPr>
                <w:rFonts w:ascii="Times New Roman" w:hAnsi="Times New Roman" w:cs="Times New Roman"/>
              </w:rPr>
              <w:t>Р</w:t>
            </w:r>
            <w:r w:rsidRPr="00754869">
              <w:rPr>
                <w:rFonts w:ascii="Times New Roman" w:hAnsi="Times New Roman" w:cs="Times New Roman"/>
                <w:vertAlign w:val="subscript"/>
              </w:rPr>
              <w:t xml:space="preserve"> )</w:t>
            </w:r>
            <w:proofErr w:type="gramEnd"/>
            <w:r w:rsidRPr="00754869">
              <w:rPr>
                <w:rFonts w:ascii="Times New Roman" w:hAnsi="Times New Roman" w:cs="Times New Roman"/>
              </w:rPr>
              <w:t>=1, если Р= 4,</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=2, если Р= 3,</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 </w:t>
            </w:r>
            <w:r w:rsidRPr="00754869">
              <w:rPr>
                <w:rFonts w:ascii="Times New Roman" w:hAnsi="Times New Roman" w:cs="Times New Roman"/>
              </w:rPr>
              <w:t>3, если Р= 2,</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 4, если Р= 1,</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(Р</w:t>
            </w:r>
            <w:r w:rsidRPr="00754869">
              <w:rPr>
                <w:rFonts w:ascii="Times New Roman" w:hAnsi="Times New Roman" w:cs="Times New Roman"/>
                <w:vertAlign w:val="subscript"/>
              </w:rPr>
              <w:t xml:space="preserve">) </w:t>
            </w:r>
            <w:r w:rsidRPr="00754869">
              <w:rPr>
                <w:rFonts w:ascii="Times New Roman" w:hAnsi="Times New Roman" w:cs="Times New Roman"/>
              </w:rPr>
              <w:t>=5, если Р= 0</w:t>
            </w:r>
          </w:p>
          <w:p w:rsidR="00754869" w:rsidRPr="00754869" w:rsidRDefault="00754869" w:rsidP="00E63296">
            <w:pPr>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rPr>
              <w:t>положительное значение показателя свидетельствует о соблюдении ГАБС сроков предоставления сведений, необходимых для расчета показателей мониторинга качества финансового менеджмента в Финансовое управление.</w:t>
            </w:r>
          </w:p>
          <w:p w:rsidR="00754869" w:rsidRPr="00754869" w:rsidRDefault="00754869" w:rsidP="00E63296">
            <w:pPr>
              <w:spacing w:after="0" w:line="240" w:lineRule="auto"/>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0.</w:t>
            </w:r>
          </w:p>
        </w:tc>
      </w:tr>
      <w:tr w:rsidR="00754869" w:rsidRPr="00754869" w:rsidTr="008932D2">
        <w:trPr>
          <w:trHeight w:val="834"/>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highlight w:val="yellow"/>
              </w:rPr>
            </w:pPr>
            <w:r w:rsidRPr="00754869">
              <w:rPr>
                <w:rFonts w:ascii="Times New Roman" w:hAnsi="Times New Roman" w:cs="Times New Roman"/>
                <w:snapToGrid w:val="0"/>
              </w:rPr>
              <w:t>4.3.</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b/>
                <w:snapToGrid w:val="0"/>
                <w:sz w:val="24"/>
                <w:szCs w:val="24"/>
              </w:rPr>
            </w:pPr>
            <w:r w:rsidRPr="00754869">
              <w:rPr>
                <w:rFonts w:ascii="Times New Roman" w:hAnsi="Times New Roman" w:cs="Times New Roman"/>
                <w:snapToGrid w:val="0"/>
              </w:rPr>
              <w:t>Наличие правового акта, обеспечивающего осуществление внутреннего финансового аудита (внутреннего финансового контроля), и соответствие его положениям федеральных стандартов внутреннего финансового аудита</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snapToGrid w:val="0"/>
              </w:rPr>
              <w:t>Соответствие правовых актов ГАБС требованиям к организации внутреннего финансового аудита (внутреннего финансового контроля)</w:t>
            </w:r>
          </w:p>
          <w:p w:rsidR="00754869" w:rsidRPr="00754869" w:rsidRDefault="00754869" w:rsidP="00754869">
            <w:pPr>
              <w:spacing w:after="0" w:line="240" w:lineRule="auto"/>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Default="00754869" w:rsidP="00754869">
            <w:pPr>
              <w:spacing w:after="0" w:line="240" w:lineRule="auto"/>
              <w:jc w:val="center"/>
              <w:rPr>
                <w:rFonts w:ascii="Times New Roman" w:hAnsi="Times New Roman" w:cs="Times New Roman"/>
                <w:sz w:val="24"/>
                <w:szCs w:val="24"/>
              </w:rPr>
            </w:pPr>
          </w:p>
          <w:p w:rsidR="00E63296" w:rsidRPr="00754869" w:rsidRDefault="00E63296"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да/нет</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p>
          <w:p w:rsidR="00754869" w:rsidRPr="00754869" w:rsidRDefault="00754869" w:rsidP="00754869">
            <w:pPr>
              <w:spacing w:after="0" w:line="240" w:lineRule="auto"/>
              <w:jc w:val="center"/>
              <w:rPr>
                <w:rFonts w:ascii="Times New Roman" w:hAnsi="Times New Roman" w:cs="Times New Roman"/>
                <w:sz w:val="24"/>
                <w:szCs w:val="24"/>
              </w:rPr>
            </w:pPr>
            <w:r w:rsidRPr="00754869">
              <w:rPr>
                <w:rFonts w:ascii="Times New Roman" w:hAnsi="Times New Roman" w:cs="Times New Roman"/>
              </w:rPr>
              <w:t>25</w:t>
            </w:r>
          </w:p>
          <w:p w:rsidR="00754869" w:rsidRPr="00754869" w:rsidRDefault="00754869" w:rsidP="00754869">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r w:rsidRPr="00754869">
              <w:rPr>
                <w:rFonts w:ascii="Times New Roman" w:hAnsi="Times New Roman" w:cs="Times New Roman"/>
                <w:lang w:val="en-US"/>
              </w:rPr>
              <w:t>P</w:t>
            </w:r>
            <w:r w:rsidRPr="00754869">
              <w:rPr>
                <w:rFonts w:ascii="Times New Roman" w:hAnsi="Times New Roman" w:cs="Times New Roman"/>
              </w:rPr>
              <w:t>) =1, если правовой акт полностью соответствует требованиям;</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 xml:space="preserve"> (</w:t>
            </w:r>
            <w:r w:rsidRPr="00754869">
              <w:rPr>
                <w:rFonts w:ascii="Times New Roman" w:hAnsi="Times New Roman" w:cs="Times New Roman"/>
                <w:lang w:val="en-US"/>
              </w:rPr>
              <w:t>P</w:t>
            </w:r>
            <w:r w:rsidRPr="00754869">
              <w:rPr>
                <w:rFonts w:ascii="Times New Roman" w:hAnsi="Times New Roman" w:cs="Times New Roman"/>
              </w:rPr>
              <w:t xml:space="preserve">)= 0, если правовой акт не утвержден или не соответствует требованиям  </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Наличие у ГРБС правовых актов, обеспечивающих осуществление внутреннего финансового аудита (внутреннего финансового контроля), и соответствие их положениям федеральных стандартов внутреннего финансового аудита. Наличие решения руководителя ГРБС об организации внутреннего финансового аудита.</w:t>
            </w:r>
          </w:p>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rPr>
              <w:t>Целевым ориентиром для ГАБС является значение показателя, равное 1.</w:t>
            </w:r>
          </w:p>
        </w:tc>
      </w:tr>
      <w:tr w:rsidR="00754869" w:rsidRPr="00754869" w:rsidTr="008932D2">
        <w:trPr>
          <w:trHeight w:val="24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rPr>
                <w:rFonts w:ascii="Times New Roman" w:hAnsi="Times New Roman" w:cs="Times New Roman"/>
                <w:snapToGrid w:val="0"/>
                <w:sz w:val="24"/>
                <w:szCs w:val="24"/>
              </w:rPr>
            </w:pPr>
            <w:r w:rsidRPr="00754869">
              <w:rPr>
                <w:rFonts w:ascii="Times New Roman" w:hAnsi="Times New Roman" w:cs="Times New Roman"/>
                <w:snapToGrid w:val="0"/>
              </w:rPr>
              <w:t>4.4.</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 xml:space="preserve">Осуществление контроля за выполнением муниципального задания подведомственными учреждениями </w:t>
            </w:r>
          </w:p>
          <w:p w:rsidR="00754869" w:rsidRPr="00754869" w:rsidRDefault="00754869" w:rsidP="00754869">
            <w:pPr>
              <w:spacing w:before="120" w:after="0" w:line="240" w:lineRule="exact"/>
              <w:jc w:val="both"/>
              <w:rPr>
                <w:rFonts w:ascii="Times New Roman" w:hAnsi="Times New Roman" w:cs="Times New Roman"/>
                <w:sz w:val="24"/>
                <w:szCs w:val="24"/>
              </w:rPr>
            </w:pP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     </w:t>
            </w:r>
            <w:r w:rsidR="00037924">
              <w:rPr>
                <w:rFonts w:ascii="Times New Roman" w:hAnsi="Times New Roman" w:cs="Times New Roman"/>
                <w:position w:val="-24"/>
                <w:sz w:val="24"/>
                <w:szCs w:val="24"/>
              </w:rPr>
              <w:pict>
                <v:shape id="_x0000_i1029" type="#_x0000_t75" style="width:100.2pt;height:33pt">
                  <v:imagedata r:id="rId12" o:title=""/>
                </v:shape>
              </w:pict>
            </w:r>
            <w:r w:rsidRPr="00754869">
              <w:rPr>
                <w:rFonts w:ascii="Times New Roman" w:hAnsi="Times New Roman" w:cs="Times New Roman"/>
              </w:rPr>
              <w:t>, где</w:t>
            </w:r>
          </w:p>
          <w:p w:rsidR="00754869" w:rsidRPr="00754869" w:rsidRDefault="00754869" w:rsidP="00754869">
            <w:pPr>
              <w:spacing w:after="0" w:line="240" w:lineRule="exact"/>
              <w:jc w:val="both"/>
              <w:rPr>
                <w:rFonts w:ascii="Times New Roman" w:hAnsi="Times New Roman" w:cs="Times New Roman"/>
                <w:sz w:val="24"/>
                <w:szCs w:val="24"/>
              </w:rPr>
            </w:pPr>
            <w:proofErr w:type="gramStart"/>
            <w:r w:rsidRPr="00754869">
              <w:rPr>
                <w:rFonts w:ascii="Times New Roman" w:hAnsi="Times New Roman" w:cs="Times New Roman"/>
                <w:lang w:val="en-US"/>
              </w:rPr>
              <w:t>KY</w:t>
            </w:r>
            <w:r w:rsidRPr="00754869">
              <w:rPr>
                <w:rFonts w:ascii="Times New Roman" w:hAnsi="Times New Roman" w:cs="Times New Roman"/>
              </w:rPr>
              <w:t>(</w:t>
            </w:r>
            <w:proofErr w:type="gramEnd"/>
            <w:r w:rsidRPr="00754869">
              <w:rPr>
                <w:rFonts w:ascii="Times New Roman" w:hAnsi="Times New Roman" w:cs="Times New Roman"/>
              </w:rPr>
              <w:t>100) – количество подведомственных учреждений итоговая оценка выполнения муниципального задания которых в отчетном году составляет 100%;</w:t>
            </w:r>
          </w:p>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lang w:val="en-US"/>
              </w:rPr>
              <w:t>KY</w:t>
            </w:r>
            <w:r w:rsidRPr="00754869">
              <w:rPr>
                <w:rFonts w:ascii="Times New Roman" w:hAnsi="Times New Roman" w:cs="Times New Roman"/>
              </w:rPr>
              <w:t xml:space="preserve"> – количество подведомственных учреждений, которым установлены муниципальные задания в отчетном году</w:t>
            </w:r>
          </w:p>
          <w:p w:rsidR="00754869" w:rsidRPr="00754869" w:rsidRDefault="00754869" w:rsidP="00754869">
            <w:pPr>
              <w:spacing w:after="0" w:line="240" w:lineRule="exact"/>
              <w:jc w:val="both"/>
              <w:rPr>
                <w:rFonts w:ascii="Times New Roman" w:hAnsi="Times New Roman" w:cs="Times New Roman"/>
                <w:position w:val="-1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w:t>
            </w:r>
            <w:proofErr w:type="gramStart"/>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xml:space="preserve"> =</w:t>
            </w:r>
            <w:proofErr w:type="gramEnd"/>
            <w:r w:rsidRPr="00754869">
              <w:rPr>
                <w:rFonts w:ascii="Times New Roman" w:hAnsi="Times New Roman" w:cs="Times New Roman"/>
              </w:rPr>
              <w:t xml:space="preserve"> 1, если Р=100,</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 xml:space="preserve"> = 0,5, если 90&lt; Р</w:t>
            </w:r>
            <w:r w:rsidRPr="00754869">
              <w:rPr>
                <w:rFonts w:ascii="Times New Roman" w:hAnsi="Times New Roman" w:cs="Times New Roman"/>
                <w:vertAlign w:val="subscript"/>
              </w:rPr>
              <w:t xml:space="preserve"> </w:t>
            </w:r>
            <w:r w:rsidRPr="00754869">
              <w:rPr>
                <w:rFonts w:ascii="Times New Roman" w:hAnsi="Times New Roman" w:cs="Times New Roman"/>
              </w:rPr>
              <w:t>&lt;100;</w:t>
            </w:r>
          </w:p>
          <w:p w:rsidR="00754869" w:rsidRPr="00754869" w:rsidRDefault="00754869" w:rsidP="00754869">
            <w:pPr>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E</w:t>
            </w:r>
            <w:r w:rsidRPr="00754869">
              <w:rPr>
                <w:rFonts w:ascii="Times New Roman" w:hAnsi="Times New Roman" w:cs="Times New Roman"/>
              </w:rPr>
              <w:t>(Р</w:t>
            </w:r>
            <w:r w:rsidRPr="00754869">
              <w:rPr>
                <w:rFonts w:ascii="Times New Roman" w:hAnsi="Times New Roman" w:cs="Times New Roman"/>
                <w:vertAlign w:val="subscript"/>
              </w:rPr>
              <w:t>)</w:t>
            </w:r>
            <w:r w:rsidRPr="00754869">
              <w:rPr>
                <w:rFonts w:ascii="Times New Roman" w:hAnsi="Times New Roman" w:cs="Times New Roman"/>
              </w:rPr>
              <w:t xml:space="preserve"> = 0, если Р</w:t>
            </w:r>
            <w:r w:rsidRPr="00754869">
              <w:rPr>
                <w:rFonts w:ascii="Times New Roman" w:hAnsi="Times New Roman" w:cs="Times New Roman"/>
                <w:vertAlign w:val="subscript"/>
              </w:rPr>
              <w:t xml:space="preserve"> </w:t>
            </w:r>
            <w:r w:rsidRPr="00754869">
              <w:rPr>
                <w:rFonts w:ascii="Times New Roman" w:hAnsi="Times New Roman" w:cs="Times New Roman"/>
              </w:rPr>
              <w:t>≤90;</w:t>
            </w:r>
          </w:p>
          <w:p w:rsidR="00754869" w:rsidRPr="00754869" w:rsidRDefault="00754869" w:rsidP="00754869">
            <w:pPr>
              <w:autoSpaceDE w:val="0"/>
              <w:autoSpaceDN w:val="0"/>
              <w:adjustRightInd w:val="0"/>
              <w:spacing w:after="0" w:line="240" w:lineRule="exact"/>
              <w:jc w:val="center"/>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позитивно расценивается деятельность ГАБС по мониторингу выполнения муниципальных заданий.</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snapToGrid w:val="0"/>
              </w:rPr>
              <w:t>Целевым ориентиром для ГАБС является выполнение всеми подведомственными учреждениями муниципальных заданий на 100%.</w:t>
            </w:r>
          </w:p>
        </w:tc>
      </w:tr>
      <w:tr w:rsidR="00754869" w:rsidRPr="00754869" w:rsidTr="008932D2">
        <w:trPr>
          <w:trHeight w:val="2961"/>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center"/>
              <w:rPr>
                <w:rFonts w:ascii="Times New Roman" w:hAnsi="Times New Roman" w:cs="Times New Roman"/>
                <w:snapToGrid w:val="0"/>
                <w:sz w:val="24"/>
                <w:szCs w:val="24"/>
              </w:rPr>
            </w:pPr>
            <w:r w:rsidRPr="00754869">
              <w:rPr>
                <w:rFonts w:ascii="Times New Roman" w:hAnsi="Times New Roman" w:cs="Times New Roman"/>
                <w:snapToGrid w:val="0"/>
              </w:rPr>
              <w:t>4.5.</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rPr>
              <w:t>Доля контрольных мероприятий, по которым выявленные нарушения не устранены</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037924" w:rsidP="00754869">
            <w:pPr>
              <w:spacing w:before="240" w:after="100" w:afterAutospacing="1" w:line="240" w:lineRule="exact"/>
              <w:jc w:val="both"/>
              <w:rPr>
                <w:rFonts w:ascii="Times New Roman" w:hAnsi="Times New Roman" w:cs="Times New Roman"/>
                <w:sz w:val="24"/>
                <w:szCs w:val="24"/>
              </w:rPr>
            </w:pPr>
            <w:r>
              <w:rPr>
                <w:rFonts w:ascii="Times New Roman" w:hAnsi="Times New Roman" w:cs="Times New Roman"/>
                <w:position w:val="-30"/>
                <w:sz w:val="24"/>
                <w:szCs w:val="24"/>
              </w:rPr>
              <w:pict>
                <v:shape id="_x0000_i1030" type="#_x0000_t75" style="width:55.8pt;height:35.4pt">
                  <v:imagedata r:id="rId13" o:title=""/>
                </v:shape>
              </w:pict>
            </w:r>
          </w:p>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lang w:val="en-US"/>
              </w:rPr>
              <w:t>q</w:t>
            </w:r>
            <w:r w:rsidRPr="00754869">
              <w:rPr>
                <w:rFonts w:ascii="Times New Roman" w:hAnsi="Times New Roman" w:cs="Times New Roman"/>
              </w:rPr>
              <w:t xml:space="preserve"> – количество контрольных мероприятий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по которым выявленные нарушения не устранены и по которым наступил срок исполнения требования по устранению выявленных нарушений;</w:t>
            </w:r>
          </w:p>
          <w:p w:rsidR="00754869" w:rsidRPr="00754869" w:rsidRDefault="00754869" w:rsidP="00754869">
            <w:pPr>
              <w:spacing w:after="0" w:line="240" w:lineRule="exact"/>
              <w:jc w:val="both"/>
              <w:rPr>
                <w:rFonts w:ascii="Times New Roman" w:hAnsi="Times New Roman" w:cs="Times New Roman"/>
                <w:sz w:val="24"/>
                <w:szCs w:val="24"/>
              </w:rPr>
            </w:pPr>
            <w:r w:rsidRPr="00754869">
              <w:rPr>
                <w:rFonts w:ascii="Times New Roman" w:hAnsi="Times New Roman" w:cs="Times New Roman"/>
                <w:lang w:val="en-US"/>
              </w:rPr>
              <w:t>Q</w:t>
            </w:r>
            <w:r w:rsidRPr="00754869">
              <w:rPr>
                <w:rFonts w:ascii="Times New Roman" w:hAnsi="Times New Roman" w:cs="Times New Roman"/>
              </w:rPr>
              <w:t xml:space="preserve"> – количество проведенных контрольных мероприятий в отношении ГАБС</w:t>
            </w:r>
          </w:p>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snapToGrid w:val="0"/>
              </w:rPr>
              <w:t xml:space="preserve">Если </w:t>
            </w:r>
            <w:r w:rsidRPr="00754869">
              <w:rPr>
                <w:rFonts w:ascii="Times New Roman" w:hAnsi="Times New Roman" w:cs="Times New Roman"/>
                <w:snapToGrid w:val="0"/>
                <w:lang w:val="en-US"/>
              </w:rPr>
              <w:t>Q</w:t>
            </w:r>
            <w:r w:rsidRPr="00754869">
              <w:rPr>
                <w:rFonts w:ascii="Times New Roman" w:hAnsi="Times New Roman" w:cs="Times New Roman"/>
                <w:snapToGrid w:val="0"/>
              </w:rPr>
              <w:t xml:space="preserve"> = 0, тогда </w:t>
            </w:r>
            <w:r w:rsidRPr="00754869">
              <w:rPr>
                <w:rFonts w:ascii="Times New Roman" w:hAnsi="Times New Roman" w:cs="Times New Roman"/>
              </w:rPr>
              <w:t>Р</w:t>
            </w:r>
            <w:r w:rsidRPr="00754869">
              <w:rPr>
                <w:rFonts w:ascii="Times New Roman" w:hAnsi="Times New Roman" w:cs="Times New Roman"/>
                <w:vertAlign w:val="subscript"/>
              </w:rPr>
              <w:t xml:space="preserve"> </w:t>
            </w:r>
            <w:r w:rsidRPr="00754869">
              <w:rPr>
                <w:rFonts w:ascii="Times New Roman" w:hAnsi="Times New Roman" w:cs="Times New Roman"/>
              </w:rPr>
              <w:t>= 0</w:t>
            </w:r>
          </w:p>
        </w:tc>
        <w:tc>
          <w:tcPr>
            <w:tcW w:w="994"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spacing w:before="120" w:after="0" w:line="240" w:lineRule="exact"/>
              <w:jc w:val="center"/>
              <w:rPr>
                <w:rFonts w:ascii="Times New Roman" w:hAnsi="Times New Roman" w:cs="Times New Roman"/>
                <w:sz w:val="24"/>
                <w:szCs w:val="24"/>
              </w:rPr>
            </w:pPr>
            <w:r w:rsidRPr="00754869">
              <w:rPr>
                <w:rFonts w:ascii="Times New Roman" w:hAnsi="Times New Roman" w:cs="Times New Roman"/>
              </w:rPr>
              <w:t>15</w:t>
            </w:r>
          </w:p>
          <w:p w:rsidR="00754869" w:rsidRPr="00754869" w:rsidRDefault="00754869" w:rsidP="00754869">
            <w:pPr>
              <w:spacing w:before="120" w:after="0" w:line="240" w:lineRule="exac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54869" w:rsidRPr="00754869" w:rsidRDefault="00754869" w:rsidP="00754869">
            <w:pPr>
              <w:autoSpaceDE w:val="0"/>
              <w:autoSpaceDN w:val="0"/>
              <w:adjustRightInd w:val="0"/>
              <w:spacing w:after="0" w:line="240" w:lineRule="exact"/>
              <w:jc w:val="both"/>
              <w:rPr>
                <w:rFonts w:ascii="Times New Roman" w:hAnsi="Times New Roman" w:cs="Times New Roman"/>
                <w:bCs/>
                <w:sz w:val="24"/>
                <w:szCs w:val="24"/>
              </w:rPr>
            </w:pPr>
            <w:r w:rsidRPr="00754869">
              <w:rPr>
                <w:rFonts w:ascii="Times New Roman" w:hAnsi="Times New Roman" w:cs="Times New Roman"/>
                <w:bCs/>
              </w:rPr>
              <w:t xml:space="preserve">Е(Р) </w:t>
            </w:r>
            <w:proofErr w:type="gramStart"/>
            <w:r w:rsidRPr="00754869">
              <w:rPr>
                <w:rFonts w:ascii="Times New Roman" w:hAnsi="Times New Roman" w:cs="Times New Roman"/>
                <w:bCs/>
              </w:rPr>
              <w:t>=  1</w:t>
            </w:r>
            <w:proofErr w:type="gramEnd"/>
            <w:r w:rsidRPr="00754869">
              <w:rPr>
                <w:rFonts w:ascii="Times New Roman" w:hAnsi="Times New Roman" w:cs="Times New Roman"/>
                <w:bCs/>
              </w:rPr>
              <w:t>, если Р</w:t>
            </w:r>
            <w:r w:rsidRPr="00754869">
              <w:rPr>
                <w:rFonts w:ascii="Times New Roman" w:hAnsi="Times New Roman" w:cs="Times New Roman"/>
                <w:bCs/>
                <w:vertAlign w:val="subscript"/>
              </w:rPr>
              <w:t xml:space="preserve"> </w:t>
            </w:r>
            <w:r w:rsidRPr="00754869">
              <w:rPr>
                <w:rFonts w:ascii="Times New Roman" w:hAnsi="Times New Roman" w:cs="Times New Roman"/>
                <w:bCs/>
              </w:rPr>
              <w:t>= 0,</w:t>
            </w:r>
          </w:p>
          <w:p w:rsidR="00754869" w:rsidRPr="00754869" w:rsidRDefault="00754869" w:rsidP="00754869">
            <w:pPr>
              <w:autoSpaceDE w:val="0"/>
              <w:autoSpaceDN w:val="0"/>
              <w:adjustRightInd w:val="0"/>
              <w:spacing w:after="0" w:line="240" w:lineRule="exact"/>
              <w:jc w:val="both"/>
              <w:rPr>
                <w:rFonts w:ascii="Times New Roman" w:hAnsi="Times New Roman" w:cs="Times New Roman"/>
                <w:bCs/>
                <w:sz w:val="24"/>
                <w:szCs w:val="24"/>
              </w:rPr>
            </w:pPr>
            <w:r w:rsidRPr="00754869">
              <w:rPr>
                <w:rFonts w:ascii="Times New Roman" w:hAnsi="Times New Roman" w:cs="Times New Roman"/>
                <w:bCs/>
              </w:rPr>
              <w:t xml:space="preserve">Е(Р) </w:t>
            </w:r>
            <w:proofErr w:type="gramStart"/>
            <w:r w:rsidRPr="00754869">
              <w:rPr>
                <w:rFonts w:ascii="Times New Roman" w:hAnsi="Times New Roman" w:cs="Times New Roman"/>
                <w:bCs/>
              </w:rPr>
              <w:t>=  0</w:t>
            </w:r>
            <w:proofErr w:type="gramEnd"/>
            <w:r w:rsidRPr="00754869">
              <w:rPr>
                <w:rFonts w:ascii="Times New Roman" w:hAnsi="Times New Roman" w:cs="Times New Roman"/>
                <w:bCs/>
              </w:rPr>
              <w:t>,5, если 0&lt;Р</w:t>
            </w:r>
            <w:r w:rsidRPr="00754869">
              <w:rPr>
                <w:rFonts w:ascii="Times New Roman" w:hAnsi="Times New Roman" w:cs="Times New Roman"/>
                <w:bCs/>
                <w:vertAlign w:val="subscript"/>
              </w:rPr>
              <w:t xml:space="preserve"> </w:t>
            </w:r>
            <w:r w:rsidRPr="00754869">
              <w:rPr>
                <w:rFonts w:ascii="Times New Roman" w:hAnsi="Times New Roman" w:cs="Times New Roman"/>
                <w:bCs/>
              </w:rPr>
              <w:t>≤ 25,</w:t>
            </w:r>
          </w:p>
          <w:p w:rsidR="00754869" w:rsidRPr="00754869" w:rsidRDefault="00754869" w:rsidP="00754869">
            <w:pPr>
              <w:autoSpaceDE w:val="0"/>
              <w:autoSpaceDN w:val="0"/>
              <w:adjustRightInd w:val="0"/>
              <w:spacing w:after="0" w:line="240" w:lineRule="exact"/>
              <w:jc w:val="both"/>
              <w:rPr>
                <w:rFonts w:ascii="Times New Roman" w:hAnsi="Times New Roman" w:cs="Times New Roman"/>
                <w:b/>
                <w:bCs/>
                <w:sz w:val="24"/>
                <w:szCs w:val="24"/>
              </w:rPr>
            </w:pPr>
            <w:r w:rsidRPr="00754869">
              <w:rPr>
                <w:rFonts w:ascii="Times New Roman" w:hAnsi="Times New Roman" w:cs="Times New Roman"/>
                <w:bCs/>
              </w:rPr>
              <w:t xml:space="preserve">Е(Р) </w:t>
            </w:r>
            <w:r w:rsidRPr="00754869">
              <w:rPr>
                <w:rFonts w:ascii="Times New Roman" w:hAnsi="Times New Roman" w:cs="Times New Roman"/>
                <w:bCs/>
                <w:vertAlign w:val="subscript"/>
              </w:rPr>
              <w:t xml:space="preserve"> </w:t>
            </w:r>
            <w:r w:rsidRPr="00754869">
              <w:rPr>
                <w:rFonts w:ascii="Times New Roman" w:hAnsi="Times New Roman" w:cs="Times New Roman"/>
                <w:bCs/>
              </w:rPr>
              <w:t>= 0, если Р</w:t>
            </w:r>
            <w:r w:rsidRPr="00754869">
              <w:rPr>
                <w:rFonts w:ascii="Times New Roman" w:hAnsi="Times New Roman" w:cs="Times New Roman"/>
                <w:bCs/>
                <w:vertAlign w:val="subscript"/>
              </w:rPr>
              <w:t xml:space="preserve"> </w:t>
            </w:r>
            <w:r w:rsidRPr="00754869">
              <w:rPr>
                <w:rFonts w:ascii="Times New Roman" w:hAnsi="Times New Roman" w:cs="Times New Roman"/>
                <w:bCs/>
              </w:rPr>
              <w:t>&gt; 25</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both"/>
              <w:rPr>
                <w:rFonts w:ascii="Times New Roman" w:hAnsi="Times New Roman" w:cs="Times New Roman"/>
                <w:snapToGrid w:val="0"/>
                <w:sz w:val="24"/>
                <w:szCs w:val="24"/>
              </w:rPr>
            </w:pPr>
            <w:r w:rsidRPr="00754869">
              <w:rPr>
                <w:rFonts w:ascii="Times New Roman" w:hAnsi="Times New Roman" w:cs="Times New Roman"/>
              </w:rPr>
              <w:t>Негативно расценивается наличие фактов не устранения нарушений.</w:t>
            </w:r>
          </w:p>
          <w:p w:rsidR="00754869" w:rsidRPr="00754869" w:rsidRDefault="00754869" w:rsidP="00754869">
            <w:pPr>
              <w:spacing w:before="120" w:after="0" w:line="240" w:lineRule="exact"/>
              <w:jc w:val="both"/>
              <w:rPr>
                <w:rFonts w:ascii="Times New Roman" w:hAnsi="Times New Roman" w:cs="Times New Roman"/>
                <w:sz w:val="24"/>
                <w:szCs w:val="24"/>
              </w:rPr>
            </w:pPr>
            <w:r w:rsidRPr="00754869">
              <w:rPr>
                <w:rFonts w:ascii="Times New Roman" w:hAnsi="Times New Roman" w:cs="Times New Roman"/>
              </w:rPr>
              <w:t>Целевым ориентиром для ГАБС является значение показателя, равное 0.</w:t>
            </w:r>
          </w:p>
          <w:p w:rsidR="00754869" w:rsidRPr="00754869" w:rsidRDefault="00754869" w:rsidP="00754869">
            <w:pPr>
              <w:spacing w:before="120" w:after="0" w:line="240" w:lineRule="exact"/>
              <w:jc w:val="both"/>
              <w:rPr>
                <w:rFonts w:ascii="Times New Roman" w:hAnsi="Times New Roman" w:cs="Times New Roman"/>
                <w:sz w:val="24"/>
                <w:szCs w:val="24"/>
              </w:rPr>
            </w:pPr>
          </w:p>
        </w:tc>
      </w:tr>
      <w:tr w:rsidR="00754869" w:rsidRPr="00E63296" w:rsidTr="008932D2">
        <w:trPr>
          <w:trHeight w:val="407"/>
        </w:trPr>
        <w:tc>
          <w:tcPr>
            <w:tcW w:w="8080" w:type="dxa"/>
            <w:gridSpan w:val="5"/>
            <w:tcBorders>
              <w:top w:val="single" w:sz="4" w:space="0" w:color="auto"/>
              <w:left w:val="single" w:sz="4" w:space="0" w:color="auto"/>
              <w:bottom w:val="single" w:sz="4" w:space="0" w:color="auto"/>
              <w:right w:val="single" w:sz="4" w:space="0" w:color="auto"/>
            </w:tcBorders>
          </w:tcPr>
          <w:p w:rsidR="00754869" w:rsidRPr="00E63296" w:rsidRDefault="00754869" w:rsidP="00754869">
            <w:pPr>
              <w:autoSpaceDE w:val="0"/>
              <w:autoSpaceDN w:val="0"/>
              <w:adjustRightInd w:val="0"/>
              <w:spacing w:after="0" w:line="240" w:lineRule="auto"/>
              <w:jc w:val="both"/>
              <w:rPr>
                <w:rFonts w:ascii="Times New Roman" w:hAnsi="Times New Roman" w:cs="Times New Roman"/>
                <w:b/>
                <w:sz w:val="24"/>
                <w:szCs w:val="24"/>
              </w:rPr>
            </w:pPr>
            <w:r w:rsidRPr="00E63296">
              <w:rPr>
                <w:rFonts w:ascii="Times New Roman" w:hAnsi="Times New Roman" w:cs="Times New Roman"/>
                <w:b/>
              </w:rPr>
              <w:t>5. Качество управления активами</w:t>
            </w:r>
          </w:p>
        </w:tc>
        <w:tc>
          <w:tcPr>
            <w:tcW w:w="1418" w:type="dxa"/>
            <w:tcBorders>
              <w:top w:val="single" w:sz="4" w:space="0" w:color="auto"/>
              <w:left w:val="single" w:sz="4" w:space="0" w:color="auto"/>
              <w:bottom w:val="single" w:sz="4" w:space="0" w:color="auto"/>
              <w:right w:val="single" w:sz="4" w:space="0" w:color="auto"/>
            </w:tcBorders>
          </w:tcPr>
          <w:p w:rsidR="00754869" w:rsidRPr="00E63296" w:rsidRDefault="00754869" w:rsidP="00754869">
            <w:pPr>
              <w:autoSpaceDE w:val="0"/>
              <w:autoSpaceDN w:val="0"/>
              <w:adjustRightInd w:val="0"/>
              <w:spacing w:after="0" w:line="240" w:lineRule="auto"/>
              <w:jc w:val="center"/>
              <w:rPr>
                <w:rFonts w:ascii="Times New Roman" w:hAnsi="Times New Roman" w:cs="Times New Roman"/>
                <w:b/>
                <w:sz w:val="24"/>
                <w:szCs w:val="24"/>
              </w:rPr>
            </w:pPr>
            <w:r w:rsidRPr="00E63296">
              <w:rPr>
                <w:rFonts w:ascii="Times New Roman" w:hAnsi="Times New Roman" w:cs="Times New Roman"/>
                <w:b/>
              </w:rPr>
              <w:t>15</w:t>
            </w:r>
          </w:p>
        </w:tc>
        <w:tc>
          <w:tcPr>
            <w:tcW w:w="2835" w:type="dxa"/>
            <w:tcBorders>
              <w:top w:val="single" w:sz="4" w:space="0" w:color="auto"/>
              <w:left w:val="single" w:sz="4" w:space="0" w:color="auto"/>
              <w:bottom w:val="single" w:sz="4" w:space="0" w:color="auto"/>
              <w:right w:val="single" w:sz="4" w:space="0" w:color="auto"/>
            </w:tcBorders>
          </w:tcPr>
          <w:p w:rsidR="00754869" w:rsidRPr="00E63296" w:rsidRDefault="00754869" w:rsidP="00754869">
            <w:pPr>
              <w:autoSpaceDE w:val="0"/>
              <w:autoSpaceDN w:val="0"/>
              <w:adjustRightInd w:val="0"/>
              <w:spacing w:after="0" w:line="240" w:lineRule="auto"/>
              <w:jc w:val="both"/>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E63296" w:rsidRDefault="00754869" w:rsidP="00754869">
            <w:pPr>
              <w:widowControl w:val="0"/>
              <w:autoSpaceDE w:val="0"/>
              <w:autoSpaceDN w:val="0"/>
              <w:adjustRightInd w:val="0"/>
              <w:spacing w:after="0" w:line="240" w:lineRule="auto"/>
              <w:jc w:val="both"/>
              <w:rPr>
                <w:rFonts w:ascii="Times New Roman" w:hAnsi="Times New Roman" w:cs="Times New Roman"/>
                <w:b/>
                <w:sz w:val="24"/>
                <w:szCs w:val="24"/>
              </w:rPr>
            </w:pPr>
          </w:p>
        </w:tc>
      </w:tr>
      <w:tr w:rsidR="00754869" w:rsidRPr="00754869" w:rsidTr="008932D2">
        <w:trPr>
          <w:trHeight w:val="24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center"/>
              <w:rPr>
                <w:rFonts w:ascii="Times New Roman" w:hAnsi="Times New Roman" w:cs="Times New Roman"/>
                <w:snapToGrid w:val="0"/>
                <w:sz w:val="24"/>
                <w:szCs w:val="24"/>
              </w:rPr>
            </w:pPr>
            <w:r w:rsidRPr="00754869">
              <w:rPr>
                <w:rFonts w:ascii="Times New Roman" w:hAnsi="Times New Roman" w:cs="Times New Roman"/>
                <w:snapToGrid w:val="0"/>
              </w:rPr>
              <w:t>5.1.</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Наличие недостач и хищений денежных средств и  </w:t>
            </w:r>
            <w:r w:rsidRPr="00754869">
              <w:rPr>
                <w:rFonts w:ascii="Times New Roman" w:hAnsi="Times New Roman" w:cs="Times New Roman"/>
              </w:rPr>
              <w:br/>
              <w:t>материальных ценностей</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Р = 100% х </w:t>
            </w:r>
            <w:proofErr w:type="spellStart"/>
            <w:r w:rsidRPr="00754869">
              <w:rPr>
                <w:rFonts w:ascii="Times New Roman" w:hAnsi="Times New Roman" w:cs="Times New Roman"/>
              </w:rPr>
              <w:t>Кснх</w:t>
            </w:r>
            <w:proofErr w:type="spellEnd"/>
            <w:r w:rsidRPr="00754869">
              <w:rPr>
                <w:rFonts w:ascii="Times New Roman" w:hAnsi="Times New Roman" w:cs="Times New Roman"/>
              </w:rPr>
              <w:t xml:space="preserve">/ </w:t>
            </w:r>
            <w:proofErr w:type="spellStart"/>
            <w:r w:rsidRPr="00754869">
              <w:rPr>
                <w:rFonts w:ascii="Times New Roman" w:hAnsi="Times New Roman" w:cs="Times New Roman"/>
              </w:rPr>
              <w:t>Квкм</w:t>
            </w:r>
            <w:proofErr w:type="spellEnd"/>
            <w:r w:rsidRPr="00754869">
              <w:rPr>
                <w:rFonts w:ascii="Times New Roman" w:hAnsi="Times New Roman" w:cs="Times New Roman"/>
              </w:rPr>
              <w:t>, где</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rPr>
              <w:t>Кснх</w:t>
            </w:r>
            <w:proofErr w:type="spellEnd"/>
            <w:r w:rsidRPr="00754869">
              <w:rPr>
                <w:rFonts w:ascii="Times New Roman" w:hAnsi="Times New Roman" w:cs="Times New Roman"/>
              </w:rPr>
              <w:t xml:space="preserve"> – количество контрольных мероприятий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в ходе которых выявлены случаи недостач, хищений денежных средств и материальных ценностей за отчетный период,</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rPr>
              <w:t>Квкм</w:t>
            </w:r>
            <w:proofErr w:type="spellEnd"/>
            <w:r w:rsidRPr="00754869">
              <w:rPr>
                <w:rFonts w:ascii="Times New Roman" w:hAnsi="Times New Roman" w:cs="Times New Roman"/>
              </w:rPr>
              <w:t xml:space="preserve"> – количество контрольных мероприятий в отношении ГАБС, проведенных в отчетном периоде </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 xml:space="preserve">     </w:t>
            </w: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rPr>
              <w:t>65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autoSpaceDE w:val="0"/>
              <w:autoSpaceDN w:val="0"/>
              <w:adjustRightInd w:val="0"/>
              <w:spacing w:after="0" w:line="240" w:lineRule="exact"/>
              <w:jc w:val="both"/>
              <w:rPr>
                <w:rFonts w:ascii="Times New Roman" w:hAnsi="Times New Roman" w:cs="Times New Roman"/>
                <w:bCs/>
                <w:sz w:val="24"/>
                <w:szCs w:val="24"/>
              </w:rPr>
            </w:pPr>
            <w:r w:rsidRPr="00754869">
              <w:rPr>
                <w:rFonts w:ascii="Times New Roman" w:hAnsi="Times New Roman" w:cs="Times New Roman"/>
                <w:bCs/>
              </w:rPr>
              <w:t>Е(</w:t>
            </w:r>
            <w:proofErr w:type="gramStart"/>
            <w:r w:rsidRPr="00754869">
              <w:rPr>
                <w:rFonts w:ascii="Times New Roman" w:hAnsi="Times New Roman" w:cs="Times New Roman"/>
                <w:bCs/>
              </w:rPr>
              <w:t xml:space="preserve">Р) </w:t>
            </w:r>
            <w:r w:rsidRPr="00754869">
              <w:rPr>
                <w:rFonts w:ascii="Times New Roman" w:hAnsi="Times New Roman" w:cs="Times New Roman"/>
                <w:bCs/>
                <w:vertAlign w:val="subscript"/>
              </w:rPr>
              <w:t xml:space="preserve"> </w:t>
            </w:r>
            <w:r w:rsidRPr="00754869">
              <w:rPr>
                <w:rFonts w:ascii="Times New Roman" w:hAnsi="Times New Roman" w:cs="Times New Roman"/>
                <w:bCs/>
              </w:rPr>
              <w:t>=</w:t>
            </w:r>
            <w:proofErr w:type="gramEnd"/>
            <w:r w:rsidRPr="00754869">
              <w:rPr>
                <w:rFonts w:ascii="Times New Roman" w:hAnsi="Times New Roman" w:cs="Times New Roman"/>
                <w:bCs/>
              </w:rPr>
              <w:t xml:space="preserve">  1, если Р= 0,</w:t>
            </w:r>
          </w:p>
          <w:p w:rsidR="00754869" w:rsidRPr="00754869" w:rsidRDefault="00754869" w:rsidP="00754869">
            <w:pPr>
              <w:autoSpaceDE w:val="0"/>
              <w:autoSpaceDN w:val="0"/>
              <w:adjustRightInd w:val="0"/>
              <w:spacing w:after="0" w:line="240" w:lineRule="exact"/>
              <w:jc w:val="both"/>
              <w:rPr>
                <w:rFonts w:ascii="Times New Roman" w:hAnsi="Times New Roman" w:cs="Times New Roman"/>
                <w:bCs/>
                <w:sz w:val="24"/>
                <w:szCs w:val="24"/>
              </w:rPr>
            </w:pPr>
            <w:r w:rsidRPr="00754869">
              <w:rPr>
                <w:rFonts w:ascii="Times New Roman" w:hAnsi="Times New Roman" w:cs="Times New Roman"/>
                <w:bCs/>
              </w:rPr>
              <w:t>Е(</w:t>
            </w:r>
            <w:proofErr w:type="gramStart"/>
            <w:r w:rsidRPr="00754869">
              <w:rPr>
                <w:rFonts w:ascii="Times New Roman" w:hAnsi="Times New Roman" w:cs="Times New Roman"/>
                <w:bCs/>
              </w:rPr>
              <w:t xml:space="preserve">Р) </w:t>
            </w:r>
            <w:r w:rsidRPr="00754869">
              <w:rPr>
                <w:rFonts w:ascii="Times New Roman" w:hAnsi="Times New Roman" w:cs="Times New Roman"/>
                <w:bCs/>
                <w:vertAlign w:val="subscript"/>
              </w:rPr>
              <w:t xml:space="preserve"> </w:t>
            </w:r>
            <w:r w:rsidRPr="00754869">
              <w:rPr>
                <w:rFonts w:ascii="Times New Roman" w:hAnsi="Times New Roman" w:cs="Times New Roman"/>
                <w:bCs/>
              </w:rPr>
              <w:t>=</w:t>
            </w:r>
            <w:proofErr w:type="gramEnd"/>
            <w:r w:rsidRPr="00754869">
              <w:rPr>
                <w:rFonts w:ascii="Times New Roman" w:hAnsi="Times New Roman" w:cs="Times New Roman"/>
                <w:bCs/>
              </w:rPr>
              <w:t xml:space="preserve">  0,5, если 0&lt;Р≤ 25,</w:t>
            </w:r>
          </w:p>
          <w:p w:rsidR="00754869" w:rsidRPr="00754869" w:rsidRDefault="00754869" w:rsidP="00754869">
            <w:pPr>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Е(</w:t>
            </w:r>
            <w:proofErr w:type="gramStart"/>
            <w:r w:rsidRPr="00754869">
              <w:rPr>
                <w:rFonts w:ascii="Times New Roman" w:hAnsi="Times New Roman" w:cs="Times New Roman"/>
              </w:rPr>
              <w:t xml:space="preserve">Р) </w:t>
            </w:r>
            <w:r w:rsidRPr="00754869">
              <w:rPr>
                <w:rFonts w:ascii="Times New Roman" w:hAnsi="Times New Roman" w:cs="Times New Roman"/>
                <w:vertAlign w:val="subscript"/>
              </w:rPr>
              <w:t xml:space="preserve"> </w:t>
            </w:r>
            <w:r w:rsidRPr="00754869">
              <w:rPr>
                <w:rFonts w:ascii="Times New Roman" w:hAnsi="Times New Roman" w:cs="Times New Roman"/>
              </w:rPr>
              <w:t>=</w:t>
            </w:r>
            <w:proofErr w:type="gramEnd"/>
            <w:r w:rsidRPr="00754869">
              <w:rPr>
                <w:rFonts w:ascii="Times New Roman" w:hAnsi="Times New Roman" w:cs="Times New Roman"/>
              </w:rPr>
              <w:t xml:space="preserve"> 0, если Р</w:t>
            </w:r>
            <w:r w:rsidRPr="00754869">
              <w:rPr>
                <w:rFonts w:ascii="Times New Roman" w:hAnsi="Times New Roman" w:cs="Times New Roman"/>
                <w:vertAlign w:val="subscript"/>
              </w:rPr>
              <w:t xml:space="preserve"> </w:t>
            </w:r>
            <w:r w:rsidRPr="00754869">
              <w:rPr>
                <w:rFonts w:ascii="Times New Roman" w:hAnsi="Times New Roman" w:cs="Times New Roman"/>
              </w:rPr>
              <w:t>&gt; 25</w:t>
            </w:r>
          </w:p>
          <w:p w:rsidR="00754869" w:rsidRPr="00754869" w:rsidRDefault="00754869" w:rsidP="00754869">
            <w:pPr>
              <w:autoSpaceDE w:val="0"/>
              <w:autoSpaceDN w:val="0"/>
              <w:adjustRightInd w:val="0"/>
              <w:spacing w:after="0" w:line="240" w:lineRule="auto"/>
              <w:ind w:firstLine="72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негативно расценивается наличие фактов недостач и хищений.</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Ориентиром для ГАБС является отсутствие недостач и хищений.</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
        </w:tc>
      </w:tr>
      <w:tr w:rsidR="00754869" w:rsidRPr="00754869" w:rsidTr="008932D2">
        <w:trPr>
          <w:trHeight w:val="249"/>
        </w:trPr>
        <w:tc>
          <w:tcPr>
            <w:tcW w:w="70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spacing w:before="120" w:after="0" w:line="240" w:lineRule="exact"/>
              <w:jc w:val="center"/>
              <w:rPr>
                <w:rFonts w:ascii="Times New Roman" w:hAnsi="Times New Roman" w:cs="Times New Roman"/>
                <w:snapToGrid w:val="0"/>
                <w:sz w:val="24"/>
                <w:szCs w:val="24"/>
              </w:rPr>
            </w:pPr>
            <w:r w:rsidRPr="00754869">
              <w:rPr>
                <w:rFonts w:ascii="Times New Roman" w:hAnsi="Times New Roman" w:cs="Times New Roman"/>
                <w:snapToGrid w:val="0"/>
              </w:rPr>
              <w:t>5.2.</w:t>
            </w:r>
          </w:p>
        </w:tc>
        <w:tc>
          <w:tcPr>
            <w:tcW w:w="3382"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Нарушения при управлении и распоряжении муниципальной собственностью</w:t>
            </w:r>
          </w:p>
        </w:tc>
        <w:tc>
          <w:tcPr>
            <w:tcW w:w="2996" w:type="dxa"/>
            <w:gridSpan w:val="2"/>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lang w:val="en-US"/>
              </w:rPr>
              <w:t>P</w:t>
            </w:r>
            <w:r w:rsidRPr="00754869">
              <w:rPr>
                <w:rFonts w:ascii="Times New Roman" w:hAnsi="Times New Roman" w:cs="Times New Roman"/>
              </w:rPr>
              <w:t xml:space="preserve">= </w:t>
            </w:r>
            <w:proofErr w:type="spellStart"/>
            <w:r w:rsidRPr="00754869">
              <w:rPr>
                <w:rFonts w:ascii="Times New Roman" w:hAnsi="Times New Roman" w:cs="Times New Roman"/>
                <w:lang w:val="en-US"/>
              </w:rPr>
              <w:t>Qsob</w:t>
            </w:r>
            <w:proofErr w:type="spellEnd"/>
            <w:r w:rsidRPr="00754869">
              <w:rPr>
                <w:rFonts w:ascii="Times New Roman" w:hAnsi="Times New Roman" w:cs="Times New Roman"/>
              </w:rPr>
              <w:t>, где</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54869">
              <w:rPr>
                <w:rFonts w:ascii="Times New Roman" w:hAnsi="Times New Roman" w:cs="Times New Roman"/>
                <w:lang w:val="en-US"/>
              </w:rPr>
              <w:t>Qsob</w:t>
            </w:r>
            <w:proofErr w:type="spellEnd"/>
            <w:r w:rsidRPr="00754869">
              <w:rPr>
                <w:rFonts w:ascii="Times New Roman" w:hAnsi="Times New Roman" w:cs="Times New Roman"/>
              </w:rPr>
              <w:t xml:space="preserve"> – количество фактов выявленных нарушений (с учетом результатов контрольных мероприятий органов внутреннего государственного (муниципального) финансового контроля и внешнего государственного (муниципального) финансового контроля) при управлении и распоряжении муниципальной собственностью, допущенных ГАБС</w:t>
            </w:r>
          </w:p>
        </w:tc>
        <w:tc>
          <w:tcPr>
            <w:tcW w:w="994"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rPr>
              <w:t>единицы</w:t>
            </w:r>
          </w:p>
        </w:tc>
        <w:tc>
          <w:tcPr>
            <w:tcW w:w="1418"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p>
          <w:p w:rsidR="00754869" w:rsidRPr="00754869" w:rsidRDefault="00754869" w:rsidP="00754869">
            <w:pPr>
              <w:widowControl w:val="0"/>
              <w:autoSpaceDE w:val="0"/>
              <w:autoSpaceDN w:val="0"/>
              <w:adjustRightInd w:val="0"/>
              <w:spacing w:after="0" w:line="240" w:lineRule="auto"/>
              <w:jc w:val="center"/>
              <w:rPr>
                <w:rFonts w:ascii="Times New Roman" w:hAnsi="Times New Roman" w:cs="Times New Roman"/>
                <w:sz w:val="24"/>
                <w:szCs w:val="24"/>
              </w:rPr>
            </w:pPr>
            <w:r w:rsidRPr="00754869">
              <w:rPr>
                <w:rFonts w:ascii="Times New Roman" w:hAnsi="Times New Roman" w:cs="Times New Roman"/>
              </w:rPr>
              <w:t>35</w:t>
            </w:r>
          </w:p>
        </w:tc>
        <w:tc>
          <w:tcPr>
            <w:tcW w:w="2835"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E(P) = 0, если направлены предписания (представления) по грубым нарушениям при управлении и распоряжении муниципальной собственностью;</w:t>
            </w:r>
          </w:p>
          <w:p w:rsidR="00754869" w:rsidRPr="00754869" w:rsidRDefault="00754869" w:rsidP="00754869">
            <w:pPr>
              <w:autoSpaceDE w:val="0"/>
              <w:autoSpaceDN w:val="0"/>
              <w:adjustRightInd w:val="0"/>
              <w:spacing w:after="0" w:line="240" w:lineRule="auto"/>
              <w:rPr>
                <w:rFonts w:ascii="Times New Roman" w:hAnsi="Times New Roman" w:cs="Times New Roman"/>
                <w:sz w:val="24"/>
                <w:szCs w:val="24"/>
              </w:rPr>
            </w:pPr>
            <w:r w:rsidRPr="00754869">
              <w:rPr>
                <w:rFonts w:ascii="Times New Roman" w:hAnsi="Times New Roman" w:cs="Times New Roman"/>
              </w:rPr>
              <w:t>E(P) = 1, если нарушений не выявлено.</w:t>
            </w:r>
          </w:p>
        </w:tc>
        <w:tc>
          <w:tcPr>
            <w:tcW w:w="2977" w:type="dxa"/>
            <w:tcBorders>
              <w:top w:val="single" w:sz="4" w:space="0" w:color="auto"/>
              <w:left w:val="single" w:sz="4" w:space="0" w:color="auto"/>
              <w:bottom w:val="single" w:sz="4" w:space="0" w:color="auto"/>
              <w:right w:val="single" w:sz="4" w:space="0" w:color="auto"/>
            </w:tcBorders>
          </w:tcPr>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Негативно расценивается наличие фактов нарушений при управлении и распоряжении муниципальной собственностью.</w:t>
            </w:r>
          </w:p>
          <w:p w:rsidR="00754869" w:rsidRPr="00754869" w:rsidRDefault="00754869" w:rsidP="00754869">
            <w:pPr>
              <w:widowControl w:val="0"/>
              <w:autoSpaceDE w:val="0"/>
              <w:autoSpaceDN w:val="0"/>
              <w:adjustRightInd w:val="0"/>
              <w:spacing w:after="0" w:line="240" w:lineRule="auto"/>
              <w:jc w:val="both"/>
              <w:rPr>
                <w:rFonts w:ascii="Times New Roman" w:hAnsi="Times New Roman" w:cs="Times New Roman"/>
                <w:sz w:val="24"/>
                <w:szCs w:val="24"/>
              </w:rPr>
            </w:pPr>
            <w:r w:rsidRPr="00754869">
              <w:rPr>
                <w:rFonts w:ascii="Times New Roman" w:hAnsi="Times New Roman" w:cs="Times New Roman"/>
              </w:rPr>
              <w:t>Ориентиром для ГАБС является отсутствие нарушений при управлении и распоряжении муниципальной собственностью.</w:t>
            </w:r>
          </w:p>
        </w:tc>
      </w:tr>
    </w:tbl>
    <w:p w:rsidR="00415A32" w:rsidRPr="004913A9" w:rsidRDefault="00415A32" w:rsidP="006540B4">
      <w:pPr>
        <w:widowControl w:val="0"/>
        <w:autoSpaceDE w:val="0"/>
        <w:autoSpaceDN w:val="0"/>
        <w:adjustRightInd w:val="0"/>
        <w:spacing w:after="0" w:line="240" w:lineRule="auto"/>
        <w:rPr>
          <w:rFonts w:ascii="Times New Roman" w:hAnsi="Times New Roman" w:cs="Times New Roman"/>
          <w:bCs/>
          <w:sz w:val="24"/>
          <w:szCs w:val="24"/>
        </w:rPr>
      </w:pPr>
    </w:p>
    <w:sectPr w:rsidR="00415A32" w:rsidRPr="004913A9" w:rsidSect="00754869">
      <w:pgSz w:w="16838" w:h="11909" w:orient="landscape"/>
      <w:pgMar w:top="1701" w:right="992" w:bottom="765"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36" w:rsidRDefault="00306236">
      <w:pPr>
        <w:spacing w:after="0" w:line="240" w:lineRule="auto"/>
      </w:pPr>
      <w:r>
        <w:separator/>
      </w:r>
    </w:p>
  </w:endnote>
  <w:endnote w:type="continuationSeparator" w:id="0">
    <w:p w:rsidR="00306236" w:rsidRDefault="0030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E2" w:rsidRDefault="00565CE7" w:rsidP="003E352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D3AE2" w:rsidRDefault="00037924" w:rsidP="003E352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E2" w:rsidRDefault="00037924" w:rsidP="003E3520">
    <w:pPr>
      <w:pStyle w:val="a9"/>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36" w:rsidRDefault="00306236">
      <w:pPr>
        <w:spacing w:after="0" w:line="240" w:lineRule="auto"/>
      </w:pPr>
      <w:r>
        <w:separator/>
      </w:r>
    </w:p>
  </w:footnote>
  <w:footnote w:type="continuationSeparator" w:id="0">
    <w:p w:rsidR="00306236" w:rsidRDefault="0030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E2" w:rsidRDefault="00037924" w:rsidP="0021757D">
    <w:pPr>
      <w:pStyle w:val="ac"/>
      <w:tabs>
        <w:tab w:val="left" w:pos="82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15:restartNumberingAfterBreak="0">
    <w:nsid w:val="0FA268CE"/>
    <w:multiLevelType w:val="hybridMultilevel"/>
    <w:tmpl w:val="CD9C794E"/>
    <w:lvl w:ilvl="0" w:tplc="AAFC3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lvlOverride w:ilvl="0">
      <w:startOverride w:val="4"/>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E03"/>
    <w:rsid w:val="000013D3"/>
    <w:rsid w:val="000104D5"/>
    <w:rsid w:val="00016AD6"/>
    <w:rsid w:val="00016EA2"/>
    <w:rsid w:val="00036B93"/>
    <w:rsid w:val="00037924"/>
    <w:rsid w:val="0005565D"/>
    <w:rsid w:val="00063F85"/>
    <w:rsid w:val="00082458"/>
    <w:rsid w:val="00087EF8"/>
    <w:rsid w:val="00095E64"/>
    <w:rsid w:val="000A2D8F"/>
    <w:rsid w:val="000A38F1"/>
    <w:rsid w:val="000B03CA"/>
    <w:rsid w:val="000B2510"/>
    <w:rsid w:val="000C094F"/>
    <w:rsid w:val="000C286F"/>
    <w:rsid w:val="000D27F8"/>
    <w:rsid w:val="000D7F93"/>
    <w:rsid w:val="000E7F40"/>
    <w:rsid w:val="0011624E"/>
    <w:rsid w:val="00121E46"/>
    <w:rsid w:val="001243A8"/>
    <w:rsid w:val="001270DA"/>
    <w:rsid w:val="00135B40"/>
    <w:rsid w:val="001436F0"/>
    <w:rsid w:val="001439AB"/>
    <w:rsid w:val="00152E4E"/>
    <w:rsid w:val="001618CD"/>
    <w:rsid w:val="00162268"/>
    <w:rsid w:val="00183051"/>
    <w:rsid w:val="00197730"/>
    <w:rsid w:val="001C5203"/>
    <w:rsid w:val="001F3465"/>
    <w:rsid w:val="001F707F"/>
    <w:rsid w:val="00205DF2"/>
    <w:rsid w:val="00220CDB"/>
    <w:rsid w:val="00225A67"/>
    <w:rsid w:val="00235CCF"/>
    <w:rsid w:val="00236DA5"/>
    <w:rsid w:val="00261D24"/>
    <w:rsid w:val="00263703"/>
    <w:rsid w:val="0027369E"/>
    <w:rsid w:val="00295109"/>
    <w:rsid w:val="002976E2"/>
    <w:rsid w:val="002B7CE3"/>
    <w:rsid w:val="002D1BF1"/>
    <w:rsid w:val="002E420F"/>
    <w:rsid w:val="002F77D5"/>
    <w:rsid w:val="00306236"/>
    <w:rsid w:val="0030643B"/>
    <w:rsid w:val="00314436"/>
    <w:rsid w:val="00317AB1"/>
    <w:rsid w:val="00322F1B"/>
    <w:rsid w:val="00371A8E"/>
    <w:rsid w:val="003841EC"/>
    <w:rsid w:val="00395777"/>
    <w:rsid w:val="003A2F30"/>
    <w:rsid w:val="003A6305"/>
    <w:rsid w:val="003C7956"/>
    <w:rsid w:val="003E21DD"/>
    <w:rsid w:val="003E4E5C"/>
    <w:rsid w:val="003F13FA"/>
    <w:rsid w:val="003F23B3"/>
    <w:rsid w:val="00412E30"/>
    <w:rsid w:val="00415A32"/>
    <w:rsid w:val="00424095"/>
    <w:rsid w:val="00426831"/>
    <w:rsid w:val="00440C27"/>
    <w:rsid w:val="004513CD"/>
    <w:rsid w:val="00476DB0"/>
    <w:rsid w:val="004913A9"/>
    <w:rsid w:val="004A22BF"/>
    <w:rsid w:val="004A2EF0"/>
    <w:rsid w:val="004C710B"/>
    <w:rsid w:val="004C7237"/>
    <w:rsid w:val="004D207B"/>
    <w:rsid w:val="004E5F21"/>
    <w:rsid w:val="004F7AAE"/>
    <w:rsid w:val="00501912"/>
    <w:rsid w:val="0051062F"/>
    <w:rsid w:val="00511435"/>
    <w:rsid w:val="00514082"/>
    <w:rsid w:val="0052775D"/>
    <w:rsid w:val="0054660D"/>
    <w:rsid w:val="005630C1"/>
    <w:rsid w:val="00565CE7"/>
    <w:rsid w:val="00583584"/>
    <w:rsid w:val="005A5F08"/>
    <w:rsid w:val="005A62EA"/>
    <w:rsid w:val="005A7D68"/>
    <w:rsid w:val="005D6C6C"/>
    <w:rsid w:val="005D76AD"/>
    <w:rsid w:val="005F39AE"/>
    <w:rsid w:val="006027B6"/>
    <w:rsid w:val="0060511E"/>
    <w:rsid w:val="00625ACB"/>
    <w:rsid w:val="00630665"/>
    <w:rsid w:val="0064648C"/>
    <w:rsid w:val="006540B4"/>
    <w:rsid w:val="006A3A24"/>
    <w:rsid w:val="006A6CB8"/>
    <w:rsid w:val="006C15F2"/>
    <w:rsid w:val="006C1C79"/>
    <w:rsid w:val="006C2BFF"/>
    <w:rsid w:val="006C3872"/>
    <w:rsid w:val="006C4C56"/>
    <w:rsid w:val="006E6280"/>
    <w:rsid w:val="006E678E"/>
    <w:rsid w:val="006F3365"/>
    <w:rsid w:val="006F6FD9"/>
    <w:rsid w:val="00702C68"/>
    <w:rsid w:val="00712A4B"/>
    <w:rsid w:val="00721DE9"/>
    <w:rsid w:val="00732774"/>
    <w:rsid w:val="00735BED"/>
    <w:rsid w:val="00752EC3"/>
    <w:rsid w:val="00753F6A"/>
    <w:rsid w:val="00754869"/>
    <w:rsid w:val="00755F8B"/>
    <w:rsid w:val="00761CAA"/>
    <w:rsid w:val="00794806"/>
    <w:rsid w:val="0079533B"/>
    <w:rsid w:val="007B0D68"/>
    <w:rsid w:val="007C32CD"/>
    <w:rsid w:val="007C5872"/>
    <w:rsid w:val="007D5F8F"/>
    <w:rsid w:val="007F4520"/>
    <w:rsid w:val="00803332"/>
    <w:rsid w:val="00816E8D"/>
    <w:rsid w:val="00830609"/>
    <w:rsid w:val="00843945"/>
    <w:rsid w:val="00852CB4"/>
    <w:rsid w:val="00854C5C"/>
    <w:rsid w:val="00865A24"/>
    <w:rsid w:val="00867454"/>
    <w:rsid w:val="00873348"/>
    <w:rsid w:val="00873872"/>
    <w:rsid w:val="00882558"/>
    <w:rsid w:val="008900CE"/>
    <w:rsid w:val="00890852"/>
    <w:rsid w:val="008D5588"/>
    <w:rsid w:val="008E0801"/>
    <w:rsid w:val="008E1591"/>
    <w:rsid w:val="008E33AE"/>
    <w:rsid w:val="008F0FAE"/>
    <w:rsid w:val="008F63C8"/>
    <w:rsid w:val="0090640A"/>
    <w:rsid w:val="00922310"/>
    <w:rsid w:val="00925923"/>
    <w:rsid w:val="00935E03"/>
    <w:rsid w:val="00935F74"/>
    <w:rsid w:val="00953508"/>
    <w:rsid w:val="00956DD8"/>
    <w:rsid w:val="00971949"/>
    <w:rsid w:val="00985A46"/>
    <w:rsid w:val="00987757"/>
    <w:rsid w:val="00996D36"/>
    <w:rsid w:val="009A623F"/>
    <w:rsid w:val="009C709F"/>
    <w:rsid w:val="009D491F"/>
    <w:rsid w:val="009D4D7E"/>
    <w:rsid w:val="009D4F3D"/>
    <w:rsid w:val="009E46B2"/>
    <w:rsid w:val="009F499F"/>
    <w:rsid w:val="00A12F67"/>
    <w:rsid w:val="00A20650"/>
    <w:rsid w:val="00A24035"/>
    <w:rsid w:val="00A335DE"/>
    <w:rsid w:val="00A4564A"/>
    <w:rsid w:val="00A6465E"/>
    <w:rsid w:val="00A67FE3"/>
    <w:rsid w:val="00A77550"/>
    <w:rsid w:val="00A84B73"/>
    <w:rsid w:val="00A85E51"/>
    <w:rsid w:val="00A956A4"/>
    <w:rsid w:val="00AA5766"/>
    <w:rsid w:val="00AA5BA9"/>
    <w:rsid w:val="00AB3770"/>
    <w:rsid w:val="00AB4F9C"/>
    <w:rsid w:val="00AC0568"/>
    <w:rsid w:val="00AC3AAB"/>
    <w:rsid w:val="00AD6A80"/>
    <w:rsid w:val="00AE5A4B"/>
    <w:rsid w:val="00AE64C1"/>
    <w:rsid w:val="00AE7DA5"/>
    <w:rsid w:val="00B1465A"/>
    <w:rsid w:val="00B35DA8"/>
    <w:rsid w:val="00B5163B"/>
    <w:rsid w:val="00B70B92"/>
    <w:rsid w:val="00B73B49"/>
    <w:rsid w:val="00B774E3"/>
    <w:rsid w:val="00B90ADC"/>
    <w:rsid w:val="00B94988"/>
    <w:rsid w:val="00B957FA"/>
    <w:rsid w:val="00BA136F"/>
    <w:rsid w:val="00BA3EFA"/>
    <w:rsid w:val="00BD009C"/>
    <w:rsid w:val="00BE14BA"/>
    <w:rsid w:val="00BE48E8"/>
    <w:rsid w:val="00BF7284"/>
    <w:rsid w:val="00C23948"/>
    <w:rsid w:val="00C242CE"/>
    <w:rsid w:val="00C3589F"/>
    <w:rsid w:val="00C37DF5"/>
    <w:rsid w:val="00C5682C"/>
    <w:rsid w:val="00C90861"/>
    <w:rsid w:val="00CA61FD"/>
    <w:rsid w:val="00CB1E8F"/>
    <w:rsid w:val="00CB7040"/>
    <w:rsid w:val="00CD6B35"/>
    <w:rsid w:val="00CF0D18"/>
    <w:rsid w:val="00CF22E6"/>
    <w:rsid w:val="00CF3CBA"/>
    <w:rsid w:val="00CF6811"/>
    <w:rsid w:val="00D26C6D"/>
    <w:rsid w:val="00D554AA"/>
    <w:rsid w:val="00D65439"/>
    <w:rsid w:val="00D75872"/>
    <w:rsid w:val="00D81A43"/>
    <w:rsid w:val="00D83B7E"/>
    <w:rsid w:val="00D90A76"/>
    <w:rsid w:val="00DB32AF"/>
    <w:rsid w:val="00DC6126"/>
    <w:rsid w:val="00DC7873"/>
    <w:rsid w:val="00DC7EAB"/>
    <w:rsid w:val="00DD73E0"/>
    <w:rsid w:val="00DE576E"/>
    <w:rsid w:val="00DE73BE"/>
    <w:rsid w:val="00DF36FF"/>
    <w:rsid w:val="00E00ED9"/>
    <w:rsid w:val="00E04F4F"/>
    <w:rsid w:val="00E06821"/>
    <w:rsid w:val="00E15199"/>
    <w:rsid w:val="00E50004"/>
    <w:rsid w:val="00E56A2A"/>
    <w:rsid w:val="00E63296"/>
    <w:rsid w:val="00E713A8"/>
    <w:rsid w:val="00E72EB3"/>
    <w:rsid w:val="00E9403C"/>
    <w:rsid w:val="00EB0E29"/>
    <w:rsid w:val="00EB0E44"/>
    <w:rsid w:val="00EB766E"/>
    <w:rsid w:val="00EC1DE7"/>
    <w:rsid w:val="00ED44E4"/>
    <w:rsid w:val="00ED4F43"/>
    <w:rsid w:val="00EF045C"/>
    <w:rsid w:val="00F15B39"/>
    <w:rsid w:val="00F16DDF"/>
    <w:rsid w:val="00F17C4A"/>
    <w:rsid w:val="00F2137B"/>
    <w:rsid w:val="00F217A0"/>
    <w:rsid w:val="00F35FA4"/>
    <w:rsid w:val="00F36346"/>
    <w:rsid w:val="00F413E5"/>
    <w:rsid w:val="00F9105D"/>
    <w:rsid w:val="00FA2075"/>
    <w:rsid w:val="00FB41C4"/>
    <w:rsid w:val="00FB604E"/>
    <w:rsid w:val="00FB7558"/>
    <w:rsid w:val="00FD42C0"/>
    <w:rsid w:val="00FF05FD"/>
    <w:rsid w:val="00FF09AB"/>
    <w:rsid w:val="00FF1456"/>
    <w:rsid w:val="00FF5C94"/>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2CBECD36-0C8D-4BF2-B50D-09B51745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E0801"/>
    <w:rPr>
      <w:rFonts w:ascii="Cambria" w:hAnsi="Cambria" w:cs="Cambria"/>
      <w:b/>
      <w:bCs/>
      <w:color w:val="365F91"/>
      <w:sz w:val="28"/>
      <w:szCs w:val="28"/>
    </w:rPr>
  </w:style>
  <w:style w:type="character" w:customStyle="1" w:styleId="20">
    <w:name w:val="Заголовок 2 Знак"/>
    <w:link w:val="2"/>
    <w:uiPriority w:val="9"/>
    <w:rsid w:val="00D81A43"/>
    <w:rPr>
      <w:rFonts w:ascii="Arial" w:hAnsi="Arial" w:cs="Arial"/>
      <w:b/>
      <w:bCs/>
      <w:color w:val="26282F"/>
      <w:sz w:val="24"/>
      <w:szCs w:val="24"/>
    </w:rPr>
  </w:style>
  <w:style w:type="character" w:customStyle="1" w:styleId="30">
    <w:name w:val="Заголовок 3 Знак"/>
    <w:link w:val="3"/>
    <w:uiPriority w:val="99"/>
    <w:rsid w:val="00D81A43"/>
    <w:rPr>
      <w:rFonts w:ascii="Arial" w:hAnsi="Arial" w:cs="Arial"/>
      <w:b/>
      <w:bCs/>
      <w:color w:val="26282F"/>
      <w:sz w:val="24"/>
      <w:szCs w:val="24"/>
    </w:rPr>
  </w:style>
  <w:style w:type="character" w:customStyle="1" w:styleId="40">
    <w:name w:val="Заголовок 4 Знак"/>
    <w:link w:val="4"/>
    <w:uiPriority w:val="99"/>
    <w:rsid w:val="00D81A43"/>
    <w:rPr>
      <w:rFonts w:ascii="Arial" w:hAnsi="Arial" w:cs="Arial"/>
      <w:b/>
      <w:bCs/>
      <w:color w:val="26282F"/>
      <w:sz w:val="24"/>
      <w:szCs w:val="24"/>
    </w:rPr>
  </w:style>
  <w:style w:type="paragraph" w:customStyle="1" w:styleId="ConsPlusNormal">
    <w:name w:val="ConsPlusNormal"/>
    <w:rsid w:val="00D83B7E"/>
    <w:pPr>
      <w:widowControl w:val="0"/>
      <w:autoSpaceDE w:val="0"/>
      <w:autoSpaceDN w:val="0"/>
      <w:adjustRightInd w:val="0"/>
      <w:ind w:firstLine="720"/>
    </w:pPr>
    <w:rPr>
      <w:rFonts w:ascii="Arial" w:hAnsi="Arial" w:cs="Arial"/>
    </w:rPr>
  </w:style>
  <w:style w:type="character" w:styleId="a3">
    <w:name w:val="Hyperlink"/>
    <w:uiPriority w:val="99"/>
    <w:rsid w:val="00D26C6D"/>
    <w:rPr>
      <w:color w:val="0000FF"/>
      <w:u w:val="single"/>
    </w:rPr>
  </w:style>
  <w:style w:type="paragraph" w:customStyle="1" w:styleId="ConsPlusTitle">
    <w:name w:val="ConsPlusTitle"/>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6"/>
    <w:rsid w:val="008D5588"/>
    <w:rPr>
      <w:rFonts w:ascii="Times New Roman" w:eastAsia="Calibr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D73E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D73E0"/>
    <w:rPr>
      <w:rFonts w:ascii="Tahoma" w:hAnsi="Tahoma" w:cs="Tahoma"/>
      <w:sz w:val="16"/>
      <w:szCs w:val="16"/>
    </w:rPr>
  </w:style>
  <w:style w:type="paragraph" w:styleId="a9">
    <w:name w:val="footer"/>
    <w:basedOn w:val="a"/>
    <w:link w:val="aa"/>
    <w:uiPriority w:val="99"/>
    <w:rsid w:val="00754869"/>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Нижний колонтитул Знак"/>
    <w:link w:val="a9"/>
    <w:uiPriority w:val="99"/>
    <w:rsid w:val="00754869"/>
    <w:rPr>
      <w:rFonts w:ascii="Times New Roman" w:hAnsi="Times New Roman"/>
      <w:sz w:val="24"/>
      <w:szCs w:val="24"/>
    </w:rPr>
  </w:style>
  <w:style w:type="character" w:styleId="ab">
    <w:name w:val="page number"/>
    <w:rsid w:val="00754869"/>
  </w:style>
  <w:style w:type="paragraph" w:styleId="ac">
    <w:name w:val="header"/>
    <w:basedOn w:val="a"/>
    <w:link w:val="ad"/>
    <w:unhideWhenUsed/>
    <w:rsid w:val="00754869"/>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Верхний колонтитул Знак"/>
    <w:link w:val="ac"/>
    <w:rsid w:val="00754869"/>
    <w:rPr>
      <w:rFonts w:ascii="Times New Roman" w:hAnsi="Times New Roman"/>
      <w:sz w:val="24"/>
      <w:szCs w:val="24"/>
    </w:rPr>
  </w:style>
  <w:style w:type="table" w:customStyle="1" w:styleId="23">
    <w:name w:val="Сетка таблицы2"/>
    <w:basedOn w:val="a1"/>
    <w:next w:val="a6"/>
    <w:uiPriority w:val="99"/>
    <w:rsid w:val="0075486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561E-06F5-41D5-9628-6FCBD3E8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4787</TotalTime>
  <Pages>13</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 Елена Александровна</cp:lastModifiedBy>
  <cp:revision>112</cp:revision>
  <cp:lastPrinted>2020-04-16T23:11:00Z</cp:lastPrinted>
  <dcterms:created xsi:type="dcterms:W3CDTF">2012-07-17T22:28:00Z</dcterms:created>
  <dcterms:modified xsi:type="dcterms:W3CDTF">2020-06-01T04:58:00Z</dcterms:modified>
</cp:coreProperties>
</file>