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E5" w:rsidRPr="007270E5" w:rsidRDefault="007270E5" w:rsidP="007270E5">
      <w:pPr>
        <w:spacing w:before="14" w:after="272" w:line="408" w:lineRule="atLeast"/>
        <w:ind w:left="14" w:right="14"/>
        <w:jc w:val="left"/>
        <w:outlineLvl w:val="1"/>
        <w:rPr>
          <w:rFonts w:ascii="Arial" w:eastAsia="Times New Roman" w:hAnsi="Arial" w:cs="Arial"/>
          <w:color w:val="414141"/>
          <w:sz w:val="19"/>
          <w:szCs w:val="19"/>
          <w:lang w:eastAsia="ru-RU"/>
        </w:rPr>
      </w:pPr>
      <w:r w:rsidRPr="007270E5">
        <w:rPr>
          <w:rFonts w:ascii="Arial" w:eastAsia="Times New Roman" w:hAnsi="Arial" w:cs="Arial"/>
          <w:color w:val="414141"/>
          <w:sz w:val="19"/>
          <w:szCs w:val="19"/>
          <w:lang w:eastAsia="ru-RU"/>
        </w:rPr>
        <w:t>Горно-металлургический комбинат по добыче и переработке руды Озерновского золоторудного месторождения Камчатского края</w:t>
      </w:r>
    </w:p>
    <w:tbl>
      <w:tblPr>
        <w:tblW w:w="9498" w:type="dxa"/>
        <w:tblCellSpacing w:w="15" w:type="dxa"/>
        <w:tblInd w:w="-537" w:type="dxa"/>
        <w:tblCellMar>
          <w:left w:w="0" w:type="dxa"/>
          <w:right w:w="0" w:type="dxa"/>
        </w:tblCellMar>
        <w:tblLook w:val="04A0"/>
      </w:tblPr>
      <w:tblGrid>
        <w:gridCol w:w="1920"/>
        <w:gridCol w:w="7578"/>
      </w:tblGrid>
      <w:tr w:rsidR="007270E5" w:rsidRPr="007270E5" w:rsidTr="007270E5">
        <w:trPr>
          <w:trHeight w:val="408"/>
          <w:tblCellSpacing w:w="15" w:type="dxa"/>
        </w:trPr>
        <w:tc>
          <w:tcPr>
            <w:tcW w:w="9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893D1"/>
            <w:vAlign w:val="center"/>
            <w:hideMark/>
          </w:tcPr>
          <w:p w:rsidR="007270E5" w:rsidRPr="007270E5" w:rsidRDefault="007270E5" w:rsidP="007270E5">
            <w:pPr>
              <w:spacing w:after="0"/>
              <w:jc w:val="center"/>
              <w:rPr>
                <w:rFonts w:ascii="Tahoma" w:eastAsia="Times New Roman" w:hAnsi="Tahoma" w:cs="Tahoma"/>
                <w:smallCaps/>
                <w:color w:val="FFFFFF"/>
                <w:sz w:val="18"/>
                <w:szCs w:val="18"/>
                <w:lang w:eastAsia="ru-RU"/>
              </w:rPr>
            </w:pPr>
            <w:r w:rsidRPr="007270E5">
              <w:rPr>
                <w:rFonts w:ascii="Tahoma" w:eastAsia="Times New Roman" w:hAnsi="Tahoma" w:cs="Tahoma"/>
                <w:smallCaps/>
                <w:color w:val="FFFFFF"/>
                <w:sz w:val="18"/>
                <w:szCs w:val="18"/>
                <w:lang w:eastAsia="ru-RU"/>
              </w:rPr>
              <w:t>Информация о предприятии (организаторе) - инициаторе проекта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875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Номер инвестиционного проекта</w:t>
            </w:r>
          </w:p>
        </w:tc>
        <w:tc>
          <w:tcPr>
            <w:tcW w:w="7533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А1403051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875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предприятия</w:t>
            </w:r>
          </w:p>
        </w:tc>
        <w:tc>
          <w:tcPr>
            <w:tcW w:w="7533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"Сибирский горно-металлургический альянс" ("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СиГМА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875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Организационно-правовая форма</w:t>
            </w:r>
          </w:p>
        </w:tc>
        <w:tc>
          <w:tcPr>
            <w:tcW w:w="7533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Открытое акционерное общество (ОАО)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875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7533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Место нахождения (юридический адрес): 683 016, г. Петропавловск-Камчатский, ул. </w:t>
            </w:r>
            <w:proofErr w:type="gram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Мишенная</w:t>
            </w:r>
            <w:proofErr w:type="gram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 106,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10.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Почтовый адрес: 683 016, г. Петропавловск-Камчатский, ул. Беринга, д. 115А,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14,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местонахождения филиала "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СиГМА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Петропавловск-Камчатский": 683 016, г. Петропавловск-Камчатский, ул.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беринга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 115А,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14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875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7533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(812) 407-88-53; +7 (415 2) 23-75-12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875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7533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(812) 407-88-53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875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</w:t>
            </w:r>
            <w:proofErr w:type="gramStart"/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очта</w:t>
            </w:r>
          </w:p>
        </w:tc>
        <w:tc>
          <w:tcPr>
            <w:tcW w:w="7533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info@geosigma.ru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poltorak@geosigma.ru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875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7533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13.20.41 Добыча руд и песков, драгоценных металлов: золота, серебра и металлов платиновой группы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74.20.2 Геологоразведочные, геофизические, геохимические работы в области изучения недр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875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Основные акционеры</w:t>
            </w:r>
          </w:p>
        </w:tc>
        <w:tc>
          <w:tcPr>
            <w:tcW w:w="7533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Компания с ограниченной ответственностью ТАНАЛЕКС ИНВЕСТМЕНТСС ЛИМИТЕД (TANALEX INVESTMENTS LIMITED)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875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7533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Генеральный директор ОАО "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СиГМА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Филичкин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Викторович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 филиала "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СиГМА-Петропавловск-Камчатский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Полторак Владимир Васильевич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875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работающих</w:t>
            </w:r>
            <w:proofErr w:type="gramEnd"/>
          </w:p>
        </w:tc>
        <w:tc>
          <w:tcPr>
            <w:tcW w:w="7533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процессе развития проекта численность персонала возрастет ориентировочно до 600 человек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875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Основные виды выпускаемой продукции</w:t>
            </w:r>
          </w:p>
        </w:tc>
        <w:tc>
          <w:tcPr>
            <w:tcW w:w="7533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(В настоящее время Общество ведет геологоразведочные работы в целях подготовки к деятельности по добыче руд драгоценных металлов)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875" w:type="dxa"/>
            <w:tcBorders>
              <w:top w:val="nil"/>
              <w:left w:val="nil"/>
              <w:bottom w:val="single" w:sz="6" w:space="0" w:color="CECECE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Основные потребител</w:t>
            </w:r>
            <w:proofErr w:type="gramStart"/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и(</w:t>
            </w:r>
            <w:proofErr w:type="gramEnd"/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т. ч. доля потребителей на внешнем и внутреннем рынках)</w:t>
            </w:r>
          </w:p>
        </w:tc>
        <w:tc>
          <w:tcPr>
            <w:tcW w:w="7533" w:type="dxa"/>
            <w:tcBorders>
              <w:top w:val="nil"/>
              <w:left w:val="nil"/>
              <w:bottom w:val="single" w:sz="6" w:space="0" w:color="CECECE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 (В настоящее время Общество ведет геологоразведочные работы в целях подготовки к деятельности по добычи руд драгоценных металлов)</w:t>
            </w:r>
          </w:p>
        </w:tc>
      </w:tr>
    </w:tbl>
    <w:p w:rsidR="007270E5" w:rsidRPr="007270E5" w:rsidRDefault="007270E5" w:rsidP="007270E5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7" w:type="dxa"/>
        <w:tblCellSpacing w:w="15" w:type="dxa"/>
        <w:tblInd w:w="-396" w:type="dxa"/>
        <w:tblCellMar>
          <w:left w:w="0" w:type="dxa"/>
          <w:right w:w="0" w:type="dxa"/>
        </w:tblCellMar>
        <w:tblLook w:val="04A0"/>
      </w:tblPr>
      <w:tblGrid>
        <w:gridCol w:w="2135"/>
        <w:gridCol w:w="7222"/>
      </w:tblGrid>
      <w:tr w:rsidR="007270E5" w:rsidRPr="007270E5" w:rsidTr="007270E5">
        <w:trPr>
          <w:trHeight w:val="408"/>
          <w:tblCellSpacing w:w="15" w:type="dxa"/>
        </w:trPr>
        <w:tc>
          <w:tcPr>
            <w:tcW w:w="9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893D1"/>
            <w:vAlign w:val="center"/>
            <w:hideMark/>
          </w:tcPr>
          <w:p w:rsidR="007270E5" w:rsidRPr="007270E5" w:rsidRDefault="007270E5" w:rsidP="007270E5">
            <w:pPr>
              <w:spacing w:after="0"/>
              <w:jc w:val="center"/>
              <w:rPr>
                <w:rFonts w:ascii="Tahoma" w:eastAsia="Times New Roman" w:hAnsi="Tahoma" w:cs="Tahoma"/>
                <w:smallCaps/>
                <w:color w:val="FFFFFF"/>
                <w:sz w:val="18"/>
                <w:szCs w:val="18"/>
                <w:lang w:eastAsia="ru-RU"/>
              </w:rPr>
            </w:pPr>
            <w:r w:rsidRPr="007270E5">
              <w:rPr>
                <w:rFonts w:ascii="Tahoma" w:eastAsia="Times New Roman" w:hAnsi="Tahoma" w:cs="Tahoma"/>
                <w:smallCaps/>
                <w:color w:val="FFFFFF"/>
                <w:sz w:val="18"/>
                <w:szCs w:val="18"/>
                <w:lang w:eastAsia="ru-RU"/>
              </w:rPr>
              <w:t>Описание проекта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2090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Бизнес-идея (цель)</w:t>
            </w:r>
          </w:p>
        </w:tc>
        <w:tc>
          <w:tcPr>
            <w:tcW w:w="7177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Стратегия развития Общества предполагает комплексную разведку Озерновского рудного поля и развертывание горно-металлургического комбината (ГМК) мощностью до 10 тонн золота в год двумя очередями.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2090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Вид экономической деятельности (по ОКВЭД)</w:t>
            </w:r>
          </w:p>
        </w:tc>
        <w:tc>
          <w:tcPr>
            <w:tcW w:w="7177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13.20.41 Добыча руд и песков драгоценных металлов: золота, серебра и металлов платиновой группы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2090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Ответственные исполнители по проекту (ФИО, должность, тел., </w:t>
            </w:r>
            <w:proofErr w:type="spellStart"/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</w:t>
            </w:r>
            <w:proofErr w:type="spellEnd"/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почта)</w:t>
            </w:r>
          </w:p>
        </w:tc>
        <w:tc>
          <w:tcPr>
            <w:tcW w:w="7177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Зенкевич Евгений Николаевич, Начальник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инвестиционно-экономического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департамента,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zenkevich@geosigma.ru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тел. +7 921 906 2972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2090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 разработки проекта</w:t>
            </w:r>
          </w:p>
        </w:tc>
        <w:tc>
          <w:tcPr>
            <w:tcW w:w="7177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2012-2013 гг.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2090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Краткая характеристика региона, в котором предполагается реализовывать проект</w:t>
            </w:r>
          </w:p>
        </w:tc>
        <w:tc>
          <w:tcPr>
            <w:tcW w:w="7177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Камчатский край является одним из наиболее удаленных регионов страны (от центров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экономиеской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социальной и политической жизни), что усиливается неразвитостью внутреннего транспортного сообщения и фактически островным положением региона. В то же время, близость к иностранным рынкам сбыта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азиатско-Тихоокенского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региона создает позитивные предпосылки его развития. На сегодняшний день Камчатский край является высоко дотационным регионом Российской Федерации: обеспеченность собственными доходами составляет лишь 31%. Современная экономика края основывается на рыбном хозяйстве и обслуживающих его отраслях: рыбная промышленность составляет до 19% ВРП, 60,5% промышленного производства и 75% экспорта края. Из других отраслей следует отметить электроэнергетику (20% промышленного производства), судоремонтную и лесную промышленность (5%). Современная степень изученности минерально-сырьевой базы Камчатского края составляет всего 4%, что является ярким индикатором нереализованности минерально-сырьевого потенциала региона.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2090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Срок реализации проекта, этапы (с 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7177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реализации проекта: 2014-2019 гг.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Проведение масштабных ГРР  по всему месторождению в течение 2012-2014 года с целью защиты запасов в размере до 200 т/6.0 млн. унций золота (предполагается провести около 370 тыс. куб. м горных работ и около 55 тыс. п.м. буровых работ);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Строительство первой очереди ГМК (опытно-промышленной фабрики) мощностью 250 тыс. т руды в год в течение 2015-2016 года для отработки участков с повышенными содержаниями золота;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Запуск ГМК первой очереди и начало производства золота в 2016 году (с мощностью 1.8 тонн в год);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 Расширение производственных мощностей до 5 млн. т руды в год в течение 2016-2018 годов;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Доразведка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всего рудного поля с целью защиты запасов в размере до 250 т/ 8.0 млн. унций золота;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 Выход на годовой объем производства золота в размере 10.0 т/ 300 тыс. унций золота в год 2018-2019 годах.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Планируемые к вводу объекты: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1) Опытно-промышленный карьер участка "БАМ" (2015)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2) Опытно-промышленный карьер участка "Хомут" (2015)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3)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Золотоизвлекательная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фабкрика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(2015)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4) Отвалы </w:t>
            </w:r>
            <w:proofErr w:type="gram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полусухого</w:t>
            </w:r>
            <w:proofErr w:type="gram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складирвоания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хвостов (2015)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5) Вспомогательные здания и сооружения (2015)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6) Склады реагентов, взрывчатых материалов, аммиачной селитры (2015)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7) Вахтовый поселок (2015)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8) Водозаборные, водопроводные сооружения (2015)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9) Контрольно-пропускной пункт (2015)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10) Канава ТБО (2015)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11) Автомобильные дороги (2014)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12) Инженерные коммуникации (2015)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Планируемые объекты финансирования: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 очередь (ГМК 250 т.т.) - 5 131 500 тыс. руб.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(Вложено 2 000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тыс. руб. - ГРР, проектные работы)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строительства ЗИФ и карьера - 3 131 500 тыс. руб.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Строительство автодороги: 1 200 000 тыс. руб.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Вторая очередь - (ГМК 3000 т.т.) - 7 440 000 тыс. руб.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2090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Тип проекта (модернизация, новое строительство, подготовка площадок под застройку и т.п.)</w:t>
            </w:r>
          </w:p>
        </w:tc>
        <w:tc>
          <w:tcPr>
            <w:tcW w:w="7177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Новое строительство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Нормативный срок строительства проекта - 2 года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2090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Отраслевая принадлежность</w:t>
            </w:r>
          </w:p>
        </w:tc>
        <w:tc>
          <w:tcPr>
            <w:tcW w:w="7177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Геологоразведочные, геофизические и геохимические работы в области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иссследования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недр.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Добыча руд драгоценных металлов.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2090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Наличие ресурсов и инфраструктуры для реализации проекта</w:t>
            </w:r>
          </w:p>
        </w:tc>
        <w:tc>
          <w:tcPr>
            <w:tcW w:w="7177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данный момент на месторождении развернут стационарный лагерь и объекты инфраструктуры, закуплен парк оборудования и техники. Буровые работы осуществляются силами генподрядчика ОАО "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Камчатгеология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(3 буровые установки) и собственными силами (2 собственных буровых комплекса). 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Горно-геологические работы также осуществляются подрядчиком ОАО "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Камчатгеология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(экскаватор, бульдозер) и собственными силами (2 собственных бульдозера). 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Пробоподготовка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осуществляется собственными силами, производительность 45 тыс. проб в год.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 же время инфраструктура на Озерновском месторождении полностью отсутствует. В рамках проекта </w:t>
            </w:r>
            <w:proofErr w:type="gram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</w:t>
            </w:r>
            <w:proofErr w:type="gram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предусматрвиается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обеспечение будущего производства необходимыми видами энергии на базе автономных источников, работающих на жидком топливе (ДЭС, котельная, подземный источник питьевого и производственного водоснабжения).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2090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Планируемая продукция (вводимые мощности)</w:t>
            </w:r>
          </w:p>
        </w:tc>
        <w:tc>
          <w:tcPr>
            <w:tcW w:w="7177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Золото в сплаве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Доре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Мощность ЗИФ - 250 т.т. руды в год, производительность 1.8 т. золота в год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2090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Описание рынка потребителе</w:t>
            </w:r>
            <w:proofErr w:type="gramStart"/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й(</w:t>
            </w:r>
            <w:proofErr w:type="gramEnd"/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анализ внутреннего и внешнего рынков)</w:t>
            </w:r>
          </w:p>
        </w:tc>
        <w:tc>
          <w:tcPr>
            <w:tcW w:w="7177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Российские и (или) иностранные коммерческие банки.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2090" w:type="dxa"/>
            <w:tcBorders>
              <w:top w:val="nil"/>
              <w:left w:val="nil"/>
              <w:bottom w:val="single" w:sz="6" w:space="0" w:color="CECECE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Дополнительные механизмы реализации проекта (Инвестиционный фонд 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</w:p>
        </w:tc>
        <w:tc>
          <w:tcPr>
            <w:tcW w:w="7177" w:type="dxa"/>
            <w:tcBorders>
              <w:top w:val="nil"/>
              <w:left w:val="nil"/>
              <w:bottom w:val="single" w:sz="6" w:space="0" w:color="CECECE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В апреле 2014 года проекту присвоен  статус особо значимого инвестиционного проекта Камчатского края (Распоряжение Правительства Камчатского края № 138-РП от 01.04.2014). В сентябре был заключен Инвестиционный договор с Правительством Камчатского края, в соответствии с которым: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 Предоставляется субсидирование части процентной ставки по кредиту, привлеченному для реализации инвестиционного проекта: 250 млн. рублей в течение 5 лет с момента заключения договора;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 Предоставляется льгота по налогу на имущество, установлены пониженные ставки налога: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0 % - в 1 налоговом периоде;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0,6 % - во 2 налоговом периоде;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1,1 % - в 3 налоговом периоде;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1,5 % - в 4 налоговом периоде;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2.2 % - в 5 и последующих налоговых периодах (в соответствии с Законом Камчатского края от 23.09.2014 № 504 "О льготах по налогу на имущество").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Реализуемый ОАО "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СиГМА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инвестиционный проект включен </w:t>
            </w:r>
            <w:proofErr w:type="gram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 Перечень ключевых инвестиционных проектов в минерально-сырьевом комплексе Камчатского края (согласно Стратегии развития добычи и переработки минерально-сырьевых ресурсов в Камчатском крае на период до 2025 года);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 График освоения приоритетных объектов минерально-сырьевого комплекса Камчатского края до 2018 года и на период 2025 года (Распоряжение Правительства Камчатского края от 01.08.2013 № 366-РП);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 Заявлено о получении государственного софинансирования следующих </w:t>
            </w: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инфраструктурных объектов в рамках реализации инвестиционного проекта: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строительство ЛЭП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Мильково-Усть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Камчатский с ответвлением на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Озерновское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месторождение;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строительство автодороги ИП-14-Озерновское месторождение.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 ОАО "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СиГМА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заявлен на участие в отборе инвестиционных проектов, планируемых к реализации на территориях Дальнего Востока, который проводится Министерством Российской Федерации по развитию Дальнего Востока. Финансирование отобранных проектов в части инфраструктурных объектов будет осуществляться в рамках Федеральной целевой программы "Экономическое и социальное развитие Дальнего Востока и Байкальского региона на период до 2025 года". Способ финансирования будет определен при подписании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Инвестсоглашения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Минвостокразвития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России. </w:t>
            </w:r>
          </w:p>
        </w:tc>
      </w:tr>
    </w:tbl>
    <w:p w:rsidR="007270E5" w:rsidRPr="007270E5" w:rsidRDefault="007270E5" w:rsidP="007270E5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7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920"/>
        <w:gridCol w:w="5552"/>
      </w:tblGrid>
      <w:tr w:rsidR="007270E5" w:rsidRPr="007270E5" w:rsidTr="007270E5">
        <w:trPr>
          <w:trHeight w:val="408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893D1"/>
            <w:vAlign w:val="center"/>
            <w:hideMark/>
          </w:tcPr>
          <w:p w:rsidR="007270E5" w:rsidRPr="007270E5" w:rsidRDefault="007270E5" w:rsidP="007270E5">
            <w:pPr>
              <w:spacing w:after="0"/>
              <w:jc w:val="center"/>
              <w:rPr>
                <w:rFonts w:ascii="Tahoma" w:eastAsia="Times New Roman" w:hAnsi="Tahoma" w:cs="Tahoma"/>
                <w:smallCaps/>
                <w:color w:val="FFFFFF"/>
                <w:sz w:val="18"/>
                <w:szCs w:val="18"/>
                <w:lang w:eastAsia="ru-RU"/>
              </w:rPr>
            </w:pPr>
            <w:r w:rsidRPr="007270E5">
              <w:rPr>
                <w:rFonts w:ascii="Tahoma" w:eastAsia="Times New Roman" w:hAnsi="Tahoma" w:cs="Tahoma"/>
                <w:smallCaps/>
                <w:color w:val="FFFFFF"/>
                <w:sz w:val="18"/>
                <w:szCs w:val="18"/>
                <w:lang w:eastAsia="ru-RU"/>
              </w:rPr>
              <w:t>Текущее состояние проекта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875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Наличие бизнес-плана, ТЭО, финансовой модели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Подготовлено "ТЭО временных кондиций для подсчета запасов золота на участках БАМ и Хомут Озерновского месторождения", ОАО "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Гипроруда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г. Санкт-Петербург, 2012 г. Утверждено Протоколом №12/12 от 19.12.12 ТКЗ "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Камчатнедра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г. Петропавловск-Камчатский.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 Подготовлено (ТЭО) опытно-промышленного производства по добыче и переработке руды участков "БАМ" и "Хомут" Озерновского золоторудного месторождения Камчатского края </w:t>
            </w:r>
            <w:proofErr w:type="gram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бизнес-план первой очереди)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Подготовлен Бизнес-план второй очереди горно-металлургического комплекса на Озерновском золоторудном месторождении Камчатского края.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875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 Завершено проектирование ГОК первой очереди на 250 тыс. т. руды, включающего карьер и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золотоизвлекающую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фабрику (генеральный проектировщик - ЗАО ТОМС Инжиниринг), проведены инженерные изыскания на площадке будущего ГМК, определен генплан и предварительные технические расчеты. Получено положительное заключение государственной (ФАУ "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Главгосэкспертиза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РФ") и экологической (Управление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Росприроднадзора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ДФО) экспертизы проекта первой очереди.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Выполнен прое</w:t>
            </w:r>
            <w:proofErr w:type="gram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 стр</w:t>
            </w:r>
            <w:proofErr w:type="gram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оительства постоянной дороги (64 км), сделаны все соответствующие инженерные изыскания. Получено положительное заключение Государственной экспертизы проектной документации Камчатского края.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Прое</w:t>
            </w:r>
            <w:proofErr w:type="gram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 стр</w:t>
            </w:r>
            <w:proofErr w:type="gram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оительства первой очереди Горно-металлургического комбината согласован с Северо-Восточным управлением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Росрыболовства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РФ и Министерством обороны РФ.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875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Получен Градостроительный план земельного участка в целях проектирования и строительства на Озерновском месторождении первой очереди горно-металлургического комбината.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 Получен Акт выбора участка земель лесного фонда в целях проектирования и строительства объектов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горнообогатительного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комбината.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 Завершен перевод лесов, арендуемых у Агентства лесного хозяйства Камчатского края для строительства комбината, в эксплуатационные, что дает право строительства в них объектов горно-обогатительного комбината (ЗИФ, карьер, рудник, автомобильная дорога).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875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Наличие решения о предоставлении финансирования (кредитных </w:t>
            </w: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средств, бюджетных ассигнований и т.д.)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Получен бридж-кредит от ОАО "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КИТ-Финанс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Инвестциионный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банк" для завершения проектирования и подготовки к строительству подъездной автомобильной дороги. 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Назначен Кредитный комитет Сбербанка РФ по вопросу выделения проектного финансирования.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875" w:type="dxa"/>
            <w:tcBorders>
              <w:top w:val="nil"/>
              <w:left w:val="nil"/>
              <w:bottom w:val="single" w:sz="6" w:space="0" w:color="CECECE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Наличие инвестора, страна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ECECE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Рассматривается возможность вхождения в уставный капитал российского коммерческого банка.</w:t>
            </w:r>
          </w:p>
        </w:tc>
      </w:tr>
    </w:tbl>
    <w:p w:rsidR="007270E5" w:rsidRPr="007270E5" w:rsidRDefault="007270E5" w:rsidP="007270E5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8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920"/>
        <w:gridCol w:w="7466"/>
      </w:tblGrid>
      <w:tr w:rsidR="007270E5" w:rsidRPr="007270E5" w:rsidTr="007270E5">
        <w:trPr>
          <w:trHeight w:val="408"/>
          <w:tblCellSpacing w:w="15" w:type="dxa"/>
        </w:trPr>
        <w:tc>
          <w:tcPr>
            <w:tcW w:w="9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893D1"/>
            <w:vAlign w:val="center"/>
            <w:hideMark/>
          </w:tcPr>
          <w:p w:rsidR="007270E5" w:rsidRPr="007270E5" w:rsidRDefault="007270E5" w:rsidP="007270E5">
            <w:pPr>
              <w:spacing w:after="0"/>
              <w:jc w:val="center"/>
              <w:rPr>
                <w:rFonts w:ascii="Tahoma" w:eastAsia="Times New Roman" w:hAnsi="Tahoma" w:cs="Tahoma"/>
                <w:smallCaps/>
                <w:color w:val="FFFFFF"/>
                <w:sz w:val="18"/>
                <w:szCs w:val="18"/>
                <w:lang w:eastAsia="ru-RU"/>
              </w:rPr>
            </w:pPr>
            <w:r w:rsidRPr="007270E5">
              <w:rPr>
                <w:rFonts w:ascii="Tahoma" w:eastAsia="Times New Roman" w:hAnsi="Tahoma" w:cs="Tahoma"/>
                <w:smallCaps/>
                <w:color w:val="FFFFFF"/>
                <w:sz w:val="18"/>
                <w:szCs w:val="18"/>
                <w:lang w:eastAsia="ru-RU"/>
              </w:rPr>
              <w:t>Финансовая оценка проекта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875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Общая стоимость проекта (в млн. руб.):</w:t>
            </w:r>
          </w:p>
        </w:tc>
        <w:tc>
          <w:tcPr>
            <w:tcW w:w="7421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5 131,5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875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в т.ч. собственные вкладываемые средства</w:t>
            </w:r>
          </w:p>
        </w:tc>
        <w:tc>
          <w:tcPr>
            <w:tcW w:w="7421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 (</w:t>
            </w:r>
            <w:proofErr w:type="gram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вложены</w:t>
            </w:r>
            <w:proofErr w:type="gram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Обществом в настоящий момент)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875" w:type="dxa"/>
            <w:tcBorders>
              <w:top w:val="nil"/>
              <w:left w:val="nil"/>
              <w:bottom w:val="single" w:sz="6" w:space="0" w:color="CECECE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в т.ч. запрашиваемые инвестиции</w:t>
            </w:r>
          </w:p>
        </w:tc>
        <w:tc>
          <w:tcPr>
            <w:tcW w:w="7421" w:type="dxa"/>
            <w:tcBorders>
              <w:top w:val="nil"/>
              <w:left w:val="nil"/>
              <w:bottom w:val="single" w:sz="6" w:space="0" w:color="CECECE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3 131,5</w:t>
            </w:r>
          </w:p>
        </w:tc>
      </w:tr>
    </w:tbl>
    <w:p w:rsidR="007270E5" w:rsidRPr="007270E5" w:rsidRDefault="007270E5" w:rsidP="007270E5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28" w:type="dxa"/>
        <w:tblCellSpacing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8"/>
        <w:gridCol w:w="7550"/>
      </w:tblGrid>
      <w:tr w:rsidR="007270E5" w:rsidRPr="007270E5" w:rsidTr="007270E5">
        <w:trPr>
          <w:trHeight w:val="408"/>
          <w:tblCellSpacing w:w="15" w:type="dxa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893D1"/>
            <w:vAlign w:val="center"/>
            <w:hideMark/>
          </w:tcPr>
          <w:p w:rsidR="007270E5" w:rsidRPr="007270E5" w:rsidRDefault="007270E5" w:rsidP="007270E5">
            <w:pPr>
              <w:spacing w:after="0"/>
              <w:jc w:val="center"/>
              <w:rPr>
                <w:rFonts w:ascii="Tahoma" w:eastAsia="Times New Roman" w:hAnsi="Tahoma" w:cs="Tahoma"/>
                <w:smallCaps/>
                <w:color w:val="FFFFFF"/>
                <w:sz w:val="18"/>
                <w:szCs w:val="18"/>
                <w:lang w:eastAsia="ru-RU"/>
              </w:rPr>
            </w:pPr>
            <w:r w:rsidRPr="007270E5">
              <w:rPr>
                <w:rFonts w:ascii="Tahoma" w:eastAsia="Times New Roman" w:hAnsi="Tahoma" w:cs="Tahoma"/>
                <w:smallCaps/>
                <w:color w:val="FFFFFF"/>
                <w:sz w:val="18"/>
                <w:szCs w:val="18"/>
                <w:lang w:eastAsia="ru-RU"/>
              </w:rPr>
              <w:t>Основные показатели эффективности проекта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933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Внутренняя норма рентабельности (IRR)</w:t>
            </w:r>
          </w:p>
        </w:tc>
        <w:tc>
          <w:tcPr>
            <w:tcW w:w="7505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17,9%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933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Индекс рентабельности (PI)</w:t>
            </w:r>
          </w:p>
        </w:tc>
        <w:tc>
          <w:tcPr>
            <w:tcW w:w="7505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&gt;1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933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Срок окупаемости</w:t>
            </w:r>
          </w:p>
        </w:tc>
        <w:tc>
          <w:tcPr>
            <w:tcW w:w="7505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лет (с учетом окупаемости вложений в ГРР)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933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Дисконтированный срок окупаемости, лет</w:t>
            </w:r>
          </w:p>
        </w:tc>
        <w:tc>
          <w:tcPr>
            <w:tcW w:w="7505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лет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933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Ставка дисконтирования, %</w:t>
            </w:r>
          </w:p>
        </w:tc>
        <w:tc>
          <w:tcPr>
            <w:tcW w:w="7505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12%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933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7505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данного проекта чрезвычайно важна для региона, поскольку позволит: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- снизить уровень безработицы в крае. В настоящий момент на реализации проекта занято 180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члоекв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Планируется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увелечение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200 человек. С запуском первой очереди численность работающих возрастет до 600 человек. Проектной документацией предусмотрено использование на организуемом производстве преимущественно местных трудовых  ресурсов (до 80%) с организацией профессиональной подготовки;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- повысить уровень жизни в ряде населенных пунктов региона, поскольку предусматривается конкурентный уровень заработной платы, также рост налоговых отчислений позволит направлять их на развитие региона;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-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долгосрочнео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присутствие крупного предприятия на территории района и края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повелчет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 собой мультипликационный эффект для экономики края - вокруг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ГОКа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будут действовать транспортные, сервисные,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кейтеринговые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проч. фирмы, обслуживающие данное производство. Бюджет будет получать налоговые отчисления не только от планируемого </w:t>
            </w:r>
            <w:proofErr w:type="spellStart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ГОКа</w:t>
            </w:r>
            <w:proofErr w:type="spellEnd"/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 и от предприятий, обслуживающих его функционирование;</w:t>
            </w:r>
          </w:p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- в ходе реализации проекта предусматривается возможность реализации ряда инфраструктурных проектов - строительства дороги к месторождению, строительства ЛЭП к месторождению, что повысит экономическую привлекательность региона в целом.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933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7505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tbl>
            <w:tblPr>
              <w:tblW w:w="811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26"/>
              <w:gridCol w:w="812"/>
              <w:gridCol w:w="857"/>
              <w:gridCol w:w="823"/>
              <w:gridCol w:w="857"/>
              <w:gridCol w:w="869"/>
              <w:gridCol w:w="789"/>
              <w:gridCol w:w="823"/>
              <w:gridCol w:w="854"/>
            </w:tblGrid>
            <w:tr w:rsidR="007270E5" w:rsidRPr="007270E5" w:rsidTr="007270E5">
              <w:trPr>
                <w:trHeight w:val="272"/>
                <w:tblCellSpacing w:w="0" w:type="dxa"/>
              </w:trPr>
              <w:tc>
                <w:tcPr>
                  <w:tcW w:w="175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Наименование налогов и платежей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Ставка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ФБ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КБ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МР/ГО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ФБ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КБ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nil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МР/ГО</w:t>
                  </w:r>
                </w:p>
              </w:tc>
            </w:tr>
            <w:tr w:rsidR="007270E5" w:rsidRPr="007270E5" w:rsidTr="007270E5">
              <w:trPr>
                <w:trHeight w:val="272"/>
                <w:tblCellSpacing w:w="0" w:type="dxa"/>
              </w:trPr>
              <w:tc>
                <w:tcPr>
                  <w:tcW w:w="175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Налог на добычу полезных ископаемых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6%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60%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699 375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279 750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419 625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nil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270E5" w:rsidRPr="007270E5" w:rsidTr="007270E5">
              <w:trPr>
                <w:trHeight w:val="272"/>
                <w:tblCellSpacing w:w="0" w:type="dxa"/>
              </w:trPr>
              <w:tc>
                <w:tcPr>
                  <w:tcW w:w="175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Налог на прибыль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20%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18%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644 141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64 414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579 727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nil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270E5" w:rsidRPr="007270E5" w:rsidTr="007270E5">
              <w:trPr>
                <w:trHeight w:val="272"/>
                <w:tblCellSpacing w:w="0" w:type="dxa"/>
              </w:trPr>
              <w:tc>
                <w:tcPr>
                  <w:tcW w:w="175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Налог на имущество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2,20%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100%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84 981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84 981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nil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270E5" w:rsidRPr="007270E5" w:rsidTr="007270E5">
              <w:trPr>
                <w:trHeight w:val="272"/>
                <w:tblCellSpacing w:w="0" w:type="dxa"/>
              </w:trPr>
              <w:tc>
                <w:tcPr>
                  <w:tcW w:w="175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Отчисления с заработной платы в т.ч. взнос на обязательное страхование от несчастных случаев и проф. Заболеваний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33,70%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100,0%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264 149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264 149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nil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270E5" w:rsidRPr="007270E5" w:rsidTr="007270E5">
              <w:trPr>
                <w:trHeight w:val="272"/>
                <w:tblCellSpacing w:w="0" w:type="dxa"/>
              </w:trPr>
              <w:tc>
                <w:tcPr>
                  <w:tcW w:w="175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13%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60%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123 685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nil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270E5" w:rsidRPr="007270E5" w:rsidTr="007270E5">
              <w:trPr>
                <w:trHeight w:val="272"/>
                <w:tblCellSpacing w:w="0" w:type="dxa"/>
              </w:trPr>
              <w:tc>
                <w:tcPr>
                  <w:tcW w:w="175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Суммарные экологические платежи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18 960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nil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18 960</w:t>
                  </w:r>
                </w:p>
              </w:tc>
            </w:tr>
            <w:tr w:rsidR="007270E5" w:rsidRPr="007270E5" w:rsidTr="007270E5">
              <w:trPr>
                <w:trHeight w:val="272"/>
                <w:tblCellSpacing w:w="0" w:type="dxa"/>
              </w:trPr>
              <w:tc>
                <w:tcPr>
                  <w:tcW w:w="175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Арендная плата за землю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2241,81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6 199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nil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6 199</w:t>
                  </w:r>
                </w:p>
              </w:tc>
            </w:tr>
            <w:tr w:rsidR="007270E5" w:rsidRPr="007270E5" w:rsidTr="007270E5">
              <w:trPr>
                <w:trHeight w:val="272"/>
                <w:tblCellSpacing w:w="0" w:type="dxa"/>
              </w:trPr>
              <w:tc>
                <w:tcPr>
                  <w:tcW w:w="175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100%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1 106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1 106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nil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270E5" w:rsidRPr="007270E5" w:rsidTr="007270E5">
              <w:trPr>
                <w:trHeight w:val="272"/>
                <w:tblCellSpacing w:w="0" w:type="dxa"/>
              </w:trPr>
              <w:tc>
                <w:tcPr>
                  <w:tcW w:w="175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Платеж за воду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306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100%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573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tted" w:sz="6" w:space="0" w:color="CCCCCC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dotted" w:sz="6" w:space="0" w:color="CCCCCC"/>
                    <w:right w:val="nil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573</w:t>
                  </w:r>
                </w:p>
              </w:tc>
            </w:tr>
            <w:tr w:rsidR="007270E5" w:rsidRPr="007270E5" w:rsidTr="007270E5">
              <w:trPr>
                <w:trHeight w:val="272"/>
                <w:tblCellSpacing w:w="0" w:type="dxa"/>
              </w:trPr>
              <w:tc>
                <w:tcPr>
                  <w:tcW w:w="1755" w:type="dxa"/>
                  <w:tcBorders>
                    <w:top w:val="nil"/>
                    <w:left w:val="nil"/>
                    <w:bottom w:val="single" w:sz="6" w:space="0" w:color="CECECE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6" w:space="0" w:color="CECECE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CECECE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CECECE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CECECE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CECECE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1 843  169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6" w:space="0" w:color="CECECE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608 313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CECECE"/>
                    <w:right w:val="dotted" w:sz="6" w:space="0" w:color="CCCCCC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1 085 440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CECECE"/>
                    <w:right w:val="nil"/>
                  </w:tcBorders>
                  <w:tcMar>
                    <w:top w:w="122" w:type="dxa"/>
                    <w:left w:w="177" w:type="dxa"/>
                    <w:bottom w:w="122" w:type="dxa"/>
                    <w:right w:w="177" w:type="dxa"/>
                  </w:tcMar>
                  <w:hideMark/>
                </w:tcPr>
                <w:p w:rsidR="007270E5" w:rsidRPr="007270E5" w:rsidRDefault="007270E5" w:rsidP="007270E5">
                  <w:pPr>
                    <w:spacing w:after="0" w:line="245" w:lineRule="atLeas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270E5">
                    <w:rPr>
                      <w:rFonts w:ascii="Arial" w:eastAsia="Times New Roman" w:hAnsi="Arial" w:cs="Arial"/>
                      <w:b/>
                      <w:bCs/>
                      <w:sz w:val="16"/>
                      <w:lang w:eastAsia="ru-RU"/>
                    </w:rPr>
                    <w:t>25 731</w:t>
                  </w:r>
                </w:p>
              </w:tc>
            </w:tr>
          </w:tbl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933" w:type="dxa"/>
            <w:tcBorders>
              <w:top w:val="nil"/>
              <w:left w:val="nil"/>
              <w:bottom w:val="dotted" w:sz="6" w:space="0" w:color="9AA8B5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Рентабельность проекта</w:t>
            </w:r>
          </w:p>
        </w:tc>
        <w:tc>
          <w:tcPr>
            <w:tcW w:w="7505" w:type="dxa"/>
            <w:tcBorders>
              <w:top w:val="nil"/>
              <w:left w:val="nil"/>
              <w:bottom w:val="dotted" w:sz="6" w:space="0" w:color="9AA8B5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0.124 (определяется как соотношение чистого дисконтированного дохода от проекта к совокупным дисконтированным расходам по проекту)</w:t>
            </w:r>
          </w:p>
        </w:tc>
      </w:tr>
      <w:tr w:rsidR="007270E5" w:rsidRPr="007270E5" w:rsidTr="007270E5">
        <w:trPr>
          <w:trHeight w:val="272"/>
          <w:tblCellSpacing w:w="15" w:type="dxa"/>
        </w:trPr>
        <w:tc>
          <w:tcPr>
            <w:tcW w:w="1933" w:type="dxa"/>
            <w:tcBorders>
              <w:top w:val="nil"/>
              <w:left w:val="nil"/>
              <w:bottom w:val="single" w:sz="6" w:space="0" w:color="CECECE"/>
              <w:right w:val="dotted" w:sz="6" w:space="0" w:color="9AA8B5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Формы возврата инвестиций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6" w:space="0" w:color="CECECE"/>
              <w:right w:val="nil"/>
            </w:tcBorders>
            <w:tcMar>
              <w:top w:w="122" w:type="dxa"/>
              <w:left w:w="177" w:type="dxa"/>
              <w:bottom w:w="122" w:type="dxa"/>
              <w:right w:w="177" w:type="dxa"/>
            </w:tcMar>
            <w:vAlign w:val="center"/>
            <w:hideMark/>
          </w:tcPr>
          <w:p w:rsidR="007270E5" w:rsidRPr="007270E5" w:rsidRDefault="007270E5" w:rsidP="007270E5">
            <w:pPr>
              <w:spacing w:after="0" w:line="245" w:lineRule="atLeast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0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Денежная</w:t>
            </w:r>
          </w:p>
        </w:tc>
      </w:tr>
    </w:tbl>
    <w:p w:rsidR="001D78E9" w:rsidRDefault="001D78E9"/>
    <w:sectPr w:rsidR="001D78E9" w:rsidSect="007270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70E5"/>
    <w:rsid w:val="00084A4E"/>
    <w:rsid w:val="001D78E9"/>
    <w:rsid w:val="00464E80"/>
    <w:rsid w:val="00571182"/>
    <w:rsid w:val="007270E5"/>
    <w:rsid w:val="007A2D63"/>
    <w:rsid w:val="007B042C"/>
    <w:rsid w:val="0088590B"/>
    <w:rsid w:val="00AB7BC8"/>
    <w:rsid w:val="00B72043"/>
    <w:rsid w:val="00CC51C9"/>
    <w:rsid w:val="00D5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E9"/>
  </w:style>
  <w:style w:type="paragraph" w:styleId="2">
    <w:name w:val="heading 2"/>
    <w:basedOn w:val="a"/>
    <w:link w:val="20"/>
    <w:uiPriority w:val="9"/>
    <w:qFormat/>
    <w:rsid w:val="007270E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0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270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0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2214</Words>
  <Characters>12622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2015-08-27T23:15:00Z</dcterms:created>
  <dcterms:modified xsi:type="dcterms:W3CDTF">2015-08-27T23:18:00Z</dcterms:modified>
</cp:coreProperties>
</file>