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8795" w14:textId="77777777" w:rsidR="000F0897" w:rsidRPr="000F0897" w:rsidRDefault="000F0897" w:rsidP="000F0897">
      <w:pPr>
        <w:shd w:val="clear" w:color="auto" w:fill="EBEBEB"/>
        <w:spacing w:after="0" w:line="240" w:lineRule="auto"/>
        <w:jc w:val="center"/>
        <w:rPr>
          <w:rFonts w:ascii="Tahoma" w:eastAsia="Times New Roman" w:hAnsi="Tahoma" w:cs="Tahoma"/>
          <w:color w:val="000000"/>
          <w:sz w:val="21"/>
          <w:szCs w:val="21"/>
          <w:lang w:eastAsia="ru-RU"/>
        </w:rPr>
      </w:pPr>
      <w:r w:rsidRPr="000F0897">
        <w:rPr>
          <w:rFonts w:ascii="Tahoma" w:eastAsia="Times New Roman" w:hAnsi="Tahoma" w:cs="Tahoma"/>
          <w:b/>
          <w:bCs/>
          <w:color w:val="CF4520"/>
          <w:sz w:val="27"/>
          <w:szCs w:val="27"/>
          <w:lang w:eastAsia="ru-RU"/>
        </w:rPr>
        <w:t>Памятка по предупреждению неформальной занятости</w:t>
      </w:r>
    </w:p>
    <w:p w14:paraId="74914687" w14:textId="77777777" w:rsidR="000F0897" w:rsidRPr="000F0897" w:rsidRDefault="000F0897" w:rsidP="000F0897">
      <w:pPr>
        <w:shd w:val="clear" w:color="auto" w:fill="EBEBEB"/>
        <w:spacing w:after="0" w:line="240" w:lineRule="auto"/>
        <w:rPr>
          <w:rFonts w:ascii="Tahoma" w:eastAsia="Times New Roman" w:hAnsi="Tahoma" w:cs="Tahoma"/>
          <w:color w:val="000000"/>
          <w:sz w:val="21"/>
          <w:szCs w:val="21"/>
          <w:lang w:eastAsia="ru-RU"/>
        </w:rPr>
      </w:pPr>
      <w:r w:rsidRPr="000F0897">
        <w:rPr>
          <w:rFonts w:ascii="Tahoma" w:eastAsia="Times New Roman" w:hAnsi="Tahoma" w:cs="Tahoma"/>
          <w:color w:val="000000"/>
          <w:sz w:val="24"/>
          <w:szCs w:val="24"/>
          <w:lang w:eastAsia="ru-RU"/>
        </w:rPr>
        <w:t> </w:t>
      </w:r>
    </w:p>
    <w:p w14:paraId="044B9C5D"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Tahoma" w:eastAsia="Times New Roman" w:hAnsi="Tahoma" w:cs="Tahoma"/>
          <w:color w:val="000000"/>
          <w:sz w:val="24"/>
          <w:szCs w:val="24"/>
          <w:lang w:eastAsia="ru-RU"/>
        </w:rPr>
        <w:t>      </w:t>
      </w:r>
      <w:r w:rsidRPr="000F0897">
        <w:rPr>
          <w:rFonts w:ascii="Verdana" w:eastAsia="Times New Roman" w:hAnsi="Verdana" w:cs="Tahoma"/>
          <w:color w:val="000000"/>
          <w:sz w:val="24"/>
          <w:szCs w:val="24"/>
          <w:lang w:eastAsia="ru-RU"/>
        </w:rPr>
        <w:t> В соответствии со Стратегией национальной безопасности Российской Федерации (утверждена Указом Президента РФ от 31.12.2015 № 683) одной из задач противодействия угрозам экономической безопасности Российской Федерации является сокращение неформальной занятости и легализация трудовых отношений.</w:t>
      </w:r>
    </w:p>
    <w:p w14:paraId="63BA3DE0"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Согласно положениям Трудового кодекса Российской Федерации (далее по тексту - ТК РФ) основанием для возникновения трудовых отношений является трудовой договор. Признаки, отличающие трудовой договор от гражданско-правового договора, следуют из определения таких отношений и основных принципов их правового регулирования. Так, отличительными признаками трудового договора являются:</w:t>
      </w:r>
    </w:p>
    <w:p w14:paraId="7AE4AD03"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сторонами в трудовом договоре выступают Работник и Работодатель;</w:t>
      </w:r>
    </w:p>
    <w:p w14:paraId="31CE48D9"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личное выполнение работником трудовой функции (работы по должности в соответствии со штатным расписанием, профессии, специальности) или конкретного вида поручаемой работы;</w:t>
      </w:r>
    </w:p>
    <w:p w14:paraId="51CD70F1"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право работника на своевременную и в полном размере выплату справедливой заработной платы не ниже установленного МРОТ;</w:t>
      </w:r>
    </w:p>
    <w:p w14:paraId="5172ABA9"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подчинение работника правилам внутреннего трудового распорядка;</w:t>
      </w:r>
    </w:p>
    <w:p w14:paraId="373051A1"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право работника на справедливые условия труда, в том числе отвечающие требованиям безопасности и гигиены, право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53B86228"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обеспечение равенства возможностей работников без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14:paraId="639A7C1C"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право работников на объединение для защиты своих прав и интересов (в том числе через профессиональные союзы);</w:t>
      </w:r>
    </w:p>
    <w:p w14:paraId="3898275F"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обязательность возмещения вреда, причиненного работнику в связи с исполнением им трудовых обязанностей;</w:t>
      </w:r>
    </w:p>
    <w:p w14:paraId="402B4240"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право работника на разрешение индивидуальных и коллективных трудовых споров, а также право на забастовку;</w:t>
      </w:r>
    </w:p>
    <w:p w14:paraId="569969D0" w14:textId="77777777" w:rsidR="000F0897" w:rsidRPr="000F0897" w:rsidRDefault="000F0897" w:rsidP="000F0897">
      <w:pPr>
        <w:numPr>
          <w:ilvl w:val="0"/>
          <w:numId w:val="1"/>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право работника на обязательное социальное страхование.</w:t>
      </w:r>
    </w:p>
    <w:p w14:paraId="567D453A"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1ED594CB"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На основании заключенного трудового договора, работодатель издает приказ (распоряжение) о приеме на работу, который (</w:t>
      </w:r>
      <w:proofErr w:type="spellStart"/>
      <w:r w:rsidRPr="000F0897">
        <w:rPr>
          <w:rFonts w:ascii="Verdana" w:eastAsia="Times New Roman" w:hAnsi="Verdana" w:cs="Tahoma"/>
          <w:color w:val="000000"/>
          <w:sz w:val="24"/>
          <w:szCs w:val="24"/>
          <w:lang w:eastAsia="ru-RU"/>
        </w:rPr>
        <w:t>ое</w:t>
      </w:r>
      <w:proofErr w:type="spellEnd"/>
      <w:r w:rsidRPr="000F0897">
        <w:rPr>
          <w:rFonts w:ascii="Verdana" w:eastAsia="Times New Roman" w:hAnsi="Verdana" w:cs="Tahoma"/>
          <w:color w:val="000000"/>
          <w:sz w:val="24"/>
          <w:szCs w:val="24"/>
          <w:lang w:eastAsia="ru-RU"/>
        </w:rPr>
        <w:t>) объявляется работнику под роспись в трехдневный срок со дня фактического начала работы.</w:t>
      </w:r>
    </w:p>
    <w:p w14:paraId="02B9F79B"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xml:space="preserve">       Трудовой договор заключается в письменной форме, составляется в двух экземплярах, каждый из которых подписывается сторонами: </w:t>
      </w:r>
      <w:r w:rsidRPr="000F0897">
        <w:rPr>
          <w:rFonts w:ascii="Verdana" w:eastAsia="Times New Roman" w:hAnsi="Verdana" w:cs="Tahoma"/>
          <w:color w:val="000000"/>
          <w:sz w:val="24"/>
          <w:szCs w:val="24"/>
          <w:lang w:eastAsia="ru-RU"/>
        </w:rPr>
        <w:lastRenderedPageBreak/>
        <w:t>Работником и Работодателем. Один экземпляр трудового договора передается работнику, другой хранится у работодателя.</w:t>
      </w:r>
    </w:p>
    <w:p w14:paraId="335CB034"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xml:space="preserve">          В трудовую книжку вносятся соответствующие сведения о работнике, проработавшего у него свыше пяти </w:t>
      </w:r>
      <w:proofErr w:type="gramStart"/>
      <w:r w:rsidRPr="000F0897">
        <w:rPr>
          <w:rFonts w:ascii="Verdana" w:eastAsia="Times New Roman" w:hAnsi="Verdana" w:cs="Tahoma"/>
          <w:color w:val="000000"/>
          <w:sz w:val="24"/>
          <w:szCs w:val="24"/>
          <w:lang w:eastAsia="ru-RU"/>
        </w:rPr>
        <w:t>дней, в случае, если</w:t>
      </w:r>
      <w:proofErr w:type="gramEnd"/>
      <w:r w:rsidRPr="000F0897">
        <w:rPr>
          <w:rFonts w:ascii="Verdana" w:eastAsia="Times New Roman" w:hAnsi="Verdana" w:cs="Tahoma"/>
          <w:color w:val="000000"/>
          <w:sz w:val="24"/>
          <w:szCs w:val="24"/>
          <w:lang w:eastAsia="ru-RU"/>
        </w:rPr>
        <w:t xml:space="preserve"> работа у данного работодателя является для работника основной.</w:t>
      </w:r>
    </w:p>
    <w:p w14:paraId="05E08BE5"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126381DF"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Tahoma" w:eastAsia="Times New Roman" w:hAnsi="Tahoma" w:cs="Tahoma"/>
          <w:color w:val="000000"/>
          <w:sz w:val="24"/>
          <w:szCs w:val="24"/>
          <w:lang w:eastAsia="ru-RU"/>
        </w:rPr>
        <w:t>        </w:t>
      </w:r>
      <w:r w:rsidRPr="000F0897">
        <w:rPr>
          <w:rFonts w:ascii="Tahoma" w:eastAsia="Times New Roman" w:hAnsi="Tahoma" w:cs="Tahoma"/>
          <w:b/>
          <w:bCs/>
          <w:color w:val="000000"/>
          <w:sz w:val="24"/>
          <w:szCs w:val="24"/>
          <w:lang w:eastAsia="ru-RU"/>
        </w:rPr>
        <w:t> </w:t>
      </w:r>
      <w:r w:rsidRPr="000F0897">
        <w:rPr>
          <w:rFonts w:ascii="Verdana" w:eastAsia="Times New Roman" w:hAnsi="Verdana" w:cs="Tahoma"/>
          <w:b/>
          <w:bCs/>
          <w:color w:val="000000"/>
          <w:sz w:val="24"/>
          <w:szCs w:val="24"/>
          <w:lang w:eastAsia="ru-RU"/>
        </w:rPr>
        <w:t>Обязательными для включения в трудовой договор являются следующие условия:</w:t>
      </w:r>
    </w:p>
    <w:p w14:paraId="0E7A0BE6"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7B273FC2"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14:paraId="2BC5E113"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14:paraId="61586972"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17D22890"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режим рабочего времени и времени отдыха (если для данного работника он отличается от общих правил, действующих у данного работодателя);</w:t>
      </w:r>
    </w:p>
    <w:p w14:paraId="746AD03C"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40C38947"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условия, определяющие в необходимых случаях характер работы (подвижной, разъездной, в пути, другой характер работы);</w:t>
      </w:r>
    </w:p>
    <w:p w14:paraId="28764FD2"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условия труда на рабочем месте;</w:t>
      </w:r>
    </w:p>
    <w:p w14:paraId="5DE0FBC3" w14:textId="77777777" w:rsidR="000F0897" w:rsidRPr="000F0897" w:rsidRDefault="000F0897" w:rsidP="000F0897">
      <w:pPr>
        <w:numPr>
          <w:ilvl w:val="0"/>
          <w:numId w:val="2"/>
        </w:numPr>
        <w:shd w:val="clear" w:color="auto" w:fill="EBEBEB"/>
        <w:spacing w:after="0" w:line="240" w:lineRule="auto"/>
        <w:ind w:left="1142"/>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lastRenderedPageBreak/>
        <w:t>условие об обязательном социальном страховании работника в соответствии с ТК РФ и иными федеральными законами.</w:t>
      </w:r>
    </w:p>
    <w:p w14:paraId="1B2744D4"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w:t>
      </w:r>
      <w:r w:rsidRPr="000F0897">
        <w:rPr>
          <w:rFonts w:ascii="Verdana" w:eastAsia="Times New Roman" w:hAnsi="Verdana" w:cs="Tahoma"/>
          <w:b/>
          <w:bCs/>
          <w:color w:val="000000"/>
          <w:sz w:val="24"/>
          <w:szCs w:val="24"/>
          <w:lang w:eastAsia="ru-RU"/>
        </w:rP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w:t>
      </w:r>
    </w:p>
    <w:p w14:paraId="4C883C73"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2183F3E7"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Нормальная продолжительность рабочего времени не может превышать 40 часов в неделю.</w:t>
      </w:r>
    </w:p>
    <w:p w14:paraId="5E309C83"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Работникам предоставляются ежегодные отпуска с сохранением места работы (должности) и среднего заработка продолжительностью не менее 28 календарных дней.</w:t>
      </w:r>
    </w:p>
    <w:p w14:paraId="09F14541"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Каждый работник имеет право:</w:t>
      </w:r>
    </w:p>
    <w:p w14:paraId="07FA852A" w14:textId="77777777" w:rsidR="000F0897" w:rsidRPr="000F0897" w:rsidRDefault="000F0897" w:rsidP="000F0897">
      <w:pPr>
        <w:numPr>
          <w:ilvl w:val="0"/>
          <w:numId w:val="3"/>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на выплату пособия по временной нетрудоспособности в соответствии с федеральными законами;</w:t>
      </w:r>
    </w:p>
    <w:p w14:paraId="30D358BA" w14:textId="77777777" w:rsidR="000F0897" w:rsidRPr="000F0897" w:rsidRDefault="000F0897" w:rsidP="000F0897">
      <w:pPr>
        <w:numPr>
          <w:ilvl w:val="0"/>
          <w:numId w:val="3"/>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на получение обеспечения по обязательному социальному страхованию от несчастных случаев на производстве и профессиональных заболеваний;</w:t>
      </w:r>
    </w:p>
    <w:p w14:paraId="36FFA173" w14:textId="77777777" w:rsidR="000F0897" w:rsidRPr="000F0897" w:rsidRDefault="000F0897" w:rsidP="000F0897">
      <w:pPr>
        <w:numPr>
          <w:ilvl w:val="0"/>
          <w:numId w:val="3"/>
        </w:numPr>
        <w:shd w:val="clear" w:color="auto" w:fill="EBEBEB"/>
        <w:spacing w:after="0" w:line="240" w:lineRule="auto"/>
        <w:ind w:left="1142"/>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на получение достоверной информации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07E1965E"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w:t>
      </w:r>
    </w:p>
    <w:p w14:paraId="7452429A"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w:t>
      </w:r>
      <w:r w:rsidRPr="000F0897">
        <w:rPr>
          <w:rFonts w:ascii="Verdana" w:eastAsia="Times New Roman" w:hAnsi="Verdana" w:cs="Tahoma"/>
          <w:b/>
          <w:bCs/>
          <w:color w:val="000000"/>
          <w:sz w:val="24"/>
          <w:szCs w:val="24"/>
          <w:lang w:eastAsia="ru-RU"/>
        </w:rPr>
        <w:t> На гражданско-правовые отношения (выполнение работ, оказание услуг) нормы трудового права не распространяются.</w:t>
      </w:r>
    </w:p>
    <w:p w14:paraId="12D1FF77"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При заключении таких договоров у гражданина не будет социально-трудовых гарантий, которые предусмотрены трудовым законодательством: на оплачиваемый отпуск и больничный, гарантий при увольнении, сокращении штата и др. Также не будет вноситься запись о работе в трудовую книжку. </w:t>
      </w:r>
    </w:p>
    <w:p w14:paraId="1D4232E7"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Заключение гражданско-правового договора неправомерно, если с работодателем у вас фактически возникают трудовые отношения: вы выполняете работу по определенной должности или профессии в соответствии со штатным расписанием, соблюдаете режим рабочего времени, выполняете распоряжения работодателя в отношении вашей работы, находиться на оборудованном для вас рабочем месте и др. (ст. 15 ТК РФ). </w:t>
      </w:r>
    </w:p>
    <w:p w14:paraId="0FA78404" w14:textId="77777777" w:rsidR="000F0897" w:rsidRPr="000F0897" w:rsidRDefault="000F0897" w:rsidP="000F0897">
      <w:pPr>
        <w:shd w:val="clear" w:color="auto" w:fill="EBEBEB"/>
        <w:spacing w:after="0" w:line="240" w:lineRule="auto"/>
        <w:jc w:val="both"/>
        <w:rPr>
          <w:rFonts w:ascii="Tahoma" w:eastAsia="Times New Roman" w:hAnsi="Tahoma" w:cs="Tahoma"/>
          <w:color w:val="000000"/>
          <w:sz w:val="21"/>
          <w:szCs w:val="21"/>
          <w:lang w:eastAsia="ru-RU"/>
        </w:rPr>
      </w:pPr>
      <w:r w:rsidRPr="000F0897">
        <w:rPr>
          <w:rFonts w:ascii="Verdana" w:eastAsia="Times New Roman" w:hAnsi="Verdana" w:cs="Tahoma"/>
          <w:color w:val="000000"/>
          <w:sz w:val="24"/>
          <w:szCs w:val="24"/>
          <w:lang w:eastAsia="ru-RU"/>
        </w:rPr>
        <w:t>       Необоснованное уклонение работодателя от заключения </w:t>
      </w:r>
      <w:hyperlink r:id="rId5" w:tooltip="Трудовой договор" w:history="1">
        <w:r w:rsidRPr="000F0897">
          <w:rPr>
            <w:rFonts w:ascii="Verdana" w:eastAsia="Times New Roman" w:hAnsi="Verdana" w:cs="Tahoma"/>
            <w:b/>
            <w:bCs/>
            <w:color w:val="0033A0"/>
            <w:sz w:val="24"/>
            <w:szCs w:val="24"/>
            <w:u w:val="single"/>
            <w:lang w:eastAsia="ru-RU"/>
          </w:rPr>
          <w:t>трудового договора</w:t>
        </w:r>
      </w:hyperlink>
      <w:r w:rsidRPr="000F0897">
        <w:rPr>
          <w:rFonts w:ascii="Verdana" w:eastAsia="Times New Roman" w:hAnsi="Verdana" w:cs="Tahoma"/>
          <w:color w:val="000000"/>
          <w:sz w:val="24"/>
          <w:szCs w:val="24"/>
          <w:lang w:eastAsia="ru-RU"/>
        </w:rPr>
        <w:t> с работником является нарушением </w:t>
      </w:r>
      <w:hyperlink r:id="rId6" w:tooltip="Трудовой кодекс Российской Федерации" w:history="1">
        <w:r w:rsidRPr="000F0897">
          <w:rPr>
            <w:rFonts w:ascii="Verdana" w:eastAsia="Times New Roman" w:hAnsi="Verdana" w:cs="Tahoma"/>
            <w:b/>
            <w:bCs/>
            <w:color w:val="0033A0"/>
            <w:sz w:val="24"/>
            <w:szCs w:val="24"/>
            <w:u w:val="single"/>
            <w:lang w:eastAsia="ru-RU"/>
          </w:rPr>
          <w:t>ТК РФ</w:t>
        </w:r>
      </w:hyperlink>
      <w:r w:rsidRPr="000F0897">
        <w:rPr>
          <w:rFonts w:ascii="Verdana" w:eastAsia="Times New Roman" w:hAnsi="Verdana" w:cs="Tahoma"/>
          <w:b/>
          <w:bCs/>
          <w:color w:val="000000"/>
          <w:sz w:val="24"/>
          <w:szCs w:val="24"/>
          <w:lang w:eastAsia="ru-RU"/>
        </w:rPr>
        <w:t>,</w:t>
      </w:r>
      <w:r w:rsidRPr="000F0897">
        <w:rPr>
          <w:rFonts w:ascii="Verdana" w:eastAsia="Times New Roman" w:hAnsi="Verdana" w:cs="Tahoma"/>
          <w:color w:val="000000"/>
          <w:sz w:val="24"/>
          <w:szCs w:val="24"/>
          <w:lang w:eastAsia="ru-RU"/>
        </w:rPr>
        <w:t> за которое предусмотрена административная и уголовная ответственность работодателя.</w:t>
      </w:r>
    </w:p>
    <w:p w14:paraId="26398EBE" w14:textId="77777777" w:rsidR="00D97BFA" w:rsidRDefault="00D97BFA"/>
    <w:sectPr w:rsidR="00D97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2455"/>
    <w:multiLevelType w:val="multilevel"/>
    <w:tmpl w:val="10F0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02D53"/>
    <w:multiLevelType w:val="multilevel"/>
    <w:tmpl w:val="2A46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60FCE"/>
    <w:multiLevelType w:val="multilevel"/>
    <w:tmpl w:val="170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68967">
    <w:abstractNumId w:val="1"/>
  </w:num>
  <w:num w:numId="2" w16cid:durableId="154299611">
    <w:abstractNumId w:val="0"/>
  </w:num>
  <w:num w:numId="3" w16cid:durableId="52888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6F"/>
    <w:rsid w:val="000F0897"/>
    <w:rsid w:val="00250B6F"/>
    <w:rsid w:val="00D97BFA"/>
    <w:rsid w:val="00ED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FB2F8-871D-440F-86B2-C2CF5209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8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1%80%D1%83%D0%B4%D0%BE%D0%B2%D0%BE%D0%B9_%D0%BA%D0%BE%D0%B4%D0%B5%D0%BA%D1%81_%D0%A0%D0%BE%D1%81%D1%81%D0%B8%D0%B9%D1%81%D0%BA%D0%BE%D0%B9_%D0%A4%D0%B5%D0%B4%D0%B5%D1%80%D0%B0%D1%86%D0%B8%D0%B8" TargetMode="External"/><Relationship Id="rId5" Type="http://schemas.openxmlformats.org/officeDocument/2006/relationships/hyperlink" Target="https://ru.wikipedia.org/wiki/%D0%A2%D1%80%D1%83%D0%B4%D0%BE%D0%B2%D0%BE%D0%B9_%D0%B4%D0%BE%D0%B3%D0%BE%D0%B2%D0%BE%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Хайруллина Анастасия Алексеевна</dc:creator>
  <cp:keywords/>
  <dc:description/>
  <cp:lastModifiedBy>Хайруллина Анастасия Алексеевна</cp:lastModifiedBy>
  <cp:revision>2</cp:revision>
  <dcterms:created xsi:type="dcterms:W3CDTF">2024-12-02T23:56:00Z</dcterms:created>
  <dcterms:modified xsi:type="dcterms:W3CDTF">2024-12-02T23:56:00Z</dcterms:modified>
</cp:coreProperties>
</file>