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УВЕДОМЛЕНИЕ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4"/>
          <w:szCs w:val="24"/>
          <w:shd w:fill="FCFCFC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по объекту государственной экологической экспертизы «Документация</w:t>
      </w:r>
      <w:r>
        <w:rPr>
          <w:rFonts w:ascii="Times New Roman" w:hAnsi="Times New Roman"/>
          <w:sz w:val="24"/>
          <w:szCs w:val="24"/>
          <w:shd w:fill="FCFCFC" w:val="clear"/>
        </w:rPr>
        <w:t xml:space="preserve"> «Намечаемая хозяйственная деятельность ООО «Дилмас» во внутренних морских водах и территориальном море Российской Федерации (акватории морского порта Петропавловск-Камчатский (участок Петропавловск-Камчатский, участок Тиличики, участок Усть-Камчатск, участок Озерновский, бухта Бечевинская); акватории морского порта Владивосток; акватории морского порта Находка)», содержащая предварительные материалы оценки воздействия на окружающую среду»</w:t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7024"/>
      </w:tblGrid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Заказчик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Полное наименование заказчика: Общество с ограниченной ответственностью «ДИЛМАС»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Краткое наименование заказчика: ООО «ДИЛМАС» ОГРН: 1082508004590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ИНН: 2508086690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Юридический адрес: 692910, Приморский край, г. Находка, ул. Пограничная, д. 72, кв.13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NSimSun" w:cs="Lucida Sans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Телефон/факс: (4236) 69-89-41, 69-99-08 (г. Находка)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br/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Адрес электронной почты: </w:t>
            </w:r>
            <w:hyperlink r:id="rId2">
              <w:r>
                <w:rPr>
                  <w:rStyle w:val="ListLabel1"/>
                  <w:rFonts w:eastAsia="NSimSun" w:cs="Lucida Sans" w:ascii="Times New Roman" w:hAnsi="Times New Roman"/>
                  <w:color w:val="0000EE"/>
                  <w:kern w:val="0"/>
                  <w:sz w:val="24"/>
                  <w:szCs w:val="24"/>
                  <w:u w:val="single" w:color="000000"/>
                  <w:shd w:fill="FCFCFC" w:val="clear"/>
                  <w:lang w:val="ru-RU" w:eastAsia="zh-CN" w:bidi="hi-IN"/>
                </w:rPr>
                <w:t>office@dilmas.ru</w:t>
              </w:r>
            </w:hyperlink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Исполнитель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Полное наименование исполнителя: Акционерное общество «Научно-Исследовательский центр «ТЕХНОПРОГРЕСС»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Краткое наименование исполнителя: АО «НИЦ «ТЕХНОПРОГРЕСС»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ОГРН: 1047796549250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ИНН: 7723517509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Юридический адрес: 115432, г. Москва, Проектируемый проезд 4062-й, д. 6, стр. 16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Тел./факс: +7 (495) 411-94-36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NSimSun" w:cs="Lucida Sans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FCFCFC" w:val="clear"/>
                <w:lang w:val="ru-RU" w:eastAsia="zh-CN" w:bidi="hi-IN"/>
              </w:rPr>
              <w:t>Адрес электронной почты: </w:t>
            </w:r>
            <w:hyperlink r:id="rId3">
              <w:r>
                <w:rPr>
                  <w:rStyle w:val="ListLabel1"/>
                  <w:rFonts w:eastAsia="NSimSun" w:cs="Lucida Sans" w:ascii="Times New Roman" w:hAnsi="Times New Roman"/>
                  <w:color w:val="0000EE"/>
                  <w:kern w:val="0"/>
                  <w:sz w:val="24"/>
                  <w:szCs w:val="24"/>
                  <w:u w:val="single" w:color="000000"/>
                  <w:shd w:fill="FCFCFC" w:val="clear"/>
                  <w:lang w:val="ru-RU" w:eastAsia="zh-CN" w:bidi="hi-IN"/>
                </w:rPr>
                <w:t>info@tehnoprogress.ru</w:t>
              </w:r>
            </w:hyperlink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Министерство природных ресурсов и экологии Камчатского края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Юридический адрес: 683017,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г. Петропавловск-Камчатский,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ул. Владивостокская, д. 2/1.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Почтовый адрес: 683040, г. Петропавловск-Камчатский, пл. Ленина,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ИНН 4101120894  КПП 410101001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Контактный телефон: +7 (4152) 42-01-74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E-mail: </w:t>
            </w:r>
            <w:hyperlink r:id="rId4">
              <w:r>
                <w:rPr>
                  <w:rStyle w:val="Hyperlink"/>
                  <w:rFonts w:eastAsia="NSimSun" w:cs="Lucida Sans" w:ascii="Times New Roman" w:hAnsi="Times New Roman"/>
                  <w:color w:val="000000"/>
                  <w:kern w:val="0"/>
                  <w:sz w:val="24"/>
                  <w:szCs w:val="24"/>
                  <w:lang w:val="ru-RU" w:eastAsia="zh-CN" w:bidi="hi-IN"/>
                </w:rPr>
                <w:t>priroda@kamgov.ru</w:t>
              </w:r>
            </w:hyperlink>
            <w:hyperlink r:id="rId5">
              <w:r>
                <w:rPr>
                  <w:rFonts w:eastAsia="NSimSun" w:cs="Lucida Sans" w:ascii="Times New Roman" w:hAnsi="Times New Roman"/>
                  <w:color w:val="000000"/>
                  <w:kern w:val="0"/>
                  <w:sz w:val="24"/>
                  <w:szCs w:val="24"/>
                  <w:lang w:val="ru-RU" w:eastAsia="zh-CN" w:bidi="hi-IN"/>
                </w:rPr>
                <w:t xml:space="preserve">, </w:t>
              </w:r>
            </w:hyperlink>
            <w:r>
              <w:rPr>
                <w:rFonts w:eastAsia="Times New Roman" w:cs="Lucida Sans" w:ascii="Times New Roman" w:hAnsi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bortsovaop@kamgov.ru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Наименование объекта общественных обсуждений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Документация «Намечаемая хозяйственная деятельность ООО «Дилмас» во внутренних морских водах и территориальном море Российской Федерации (акватории морского порта Петропавловск-Камчатский (участок Петропавловск-Камчатский, участок Тиличики, участок Усть-Камчатск, участок Озерновский, бухта Бечевинская); акватории морского порта Владивосток; акватории морского порта Находка)», содержащая предварительные материалы оценки воздействия на окружающую среду.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Наименование планируемой деятельности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 xml:space="preserve">Намечаемая хозяйственная деятельность </w:t>
              <w:br/>
              <w:t>ООО «Дилмас» во внутренних морских водах и территориальном море Российской Федерации (акватории морского порта Петропавловск-Камчатский (участок Петропавловск-Камчатский, участок Тиличики, участок Усть-Камчатск, участок Озерновский, бухта Бечевинская); акватории морского порта Владивосток; акватории морского порта Находка).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Цель планируемой деятельности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Осуществление следующих видов деятельности: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1. Перегрузка нефтепродуктов, бункеровка судов топливом;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2. Буксирное сопровождение судов (буксировка судов морским транспортом);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3. Погрузо-разгрузочная деятельность применительно к опасным грузам в морских портах и их перевозка;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4. Несение готовности аварийно-спасательных формирований к реагированию на чрезвычайные ситуации и проведению работ по их ликвидации;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5. Перевозка морским транспортом пассажиров и грузов (за исключением опасных грузов).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Предварительное место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 реализации планируемой деятельности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Намечаемая хозяйственная деятельность ООО «Дилмас» планируется к осуществлению во внутренних морских водах и территориальном море Российской Федерации (акватории морского порта Петропавловск-Камчатский (участок Петропавловск-Камчатский, участок Тиличики, участок Усть-Камчатск, участок Озерновский, бухта Бечевинская); акватории морского порта Владивосток; акватории морского порта Находка.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Контактные данные ответственных лиц со стороны заказчика (исполнителя) и уполномоченного органа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Контактные данные ответственных лиц со стороны заказчика: эколог Сериков Валентин Петрович, тел.: +7 902 526 8991, адрес электронной почты: sbm@dilmas.ru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 xml:space="preserve">Контактные данные ответственных лиц со стороны исполнителя: заместитель руководителя отдела экологической безопасности Мельникова Анна Михайловна, </w:t>
              <w:br/>
              <w:t>тел.: 8 (993) 419-66-58, адрес электронной почты: domnina@tpcorp.ru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Контактные данные ответственных лиц со стороны уполномоченного органа: </w:t>
            </w:r>
            <w:r>
              <w:rPr>
                <w:rFonts w:eastAsia="Times New Roman" w:cs="Lucida Sans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консультант отдела охраны окружающей среды и государственной экологической экспертизы Министерства природных ресурсов и экологии Камчатского края Борцова Олеся Петровна – тел. +7(4152)42-01-74 доб. 2125;</w:t>
            </w:r>
            <w:r>
              <w:rPr>
                <w:rFonts w:eastAsia="Times New Roman" w:cs="Lucida Sans" w:ascii="Times New Roman" w:hAnsi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en-US" w:eastAsia="zh-CN" w:bidi="hi-IN"/>
              </w:rPr>
              <w:t xml:space="preserve">адрес электронной почты: </w:t>
            </w:r>
            <w:r>
              <w:rPr>
                <w:rFonts w:eastAsia="Times New Roman" w:cs="Lucida Sans" w:ascii="Times New Roman" w:hAnsi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bortsovaop@kamgov.ru</w:t>
            </w:r>
          </w:p>
        </w:tc>
      </w:tr>
      <w:tr>
        <w:trPr>
          <w:trHeight w:val="3101" w:hRule="atLeast"/>
        </w:trPr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Место очного ознакомления с объектами общественных обсуждений, дата открытия доступа, срок доступности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 xml:space="preserve">Документация «Намечаемая хозяйственная деятельность ООО «Дилмас» во внутренних морских водах и территориальном море Российской Федерации (акватории морского порта Петропавловск-Камчатский (участок Петропавловск-Камчатский, участок Тиличики, участок Усть-Камчатск, участок Озерновский, бухта Бечевинская); акватории морского порта Владивосток; акватории морского порта Находка)», содержащая предварительные материалы оценки воздействия на окружающую среду, доступна в холле здания по адресу: </w:t>
              <w:br/>
              <w:t xml:space="preserve">г. Москва, Окружной проезд, 18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с 26.05.2025 по 27.06.2025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 xml:space="preserve"> (включительно)  с 9:00 до 18:00 по предварительной записи по телефону: 8(495) 221-60-28, доб. 5090.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Информации о размещении объектов общественных обсуждений в сети «Интернет»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 xml:space="preserve">Документация «Намечаемая хозяйственная деятельность ООО «Дилмас» во внутренних морских водах и территориальном море Российской Федерации (акватории морского порта Петропавловск-Камчатский (участок ПетропавловскКамчатский, участок Тиличики, участок Усть-Камчатск, участок Озерновский, бухта Бечевинская); акватории морского порта Владивосток; акватории морского порта Находка)», содержащая предварительные материалы оценки воздействия на окружающую среду,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 xml:space="preserve">доступна по ссылке: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https://disk.yandex.ru/d/ZQtk2N-691ME2w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с 26.05.2025 по 27.06.2025 (включительно).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Дата размещения объектов общественных обсуждений в сети «Интернет»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26.05.2025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Срок размещения объектов общественных обсуждений в сети «Интернет»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с 26.05.2025 до 27.06.2025 (включительно)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соответствии с п. 23 Правил проведения оценки воздействия на окружающую среду (утв. постановлением Правительства РФ от 28.11.2024 № 1644) 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(с 26.05.2025) п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утем направления в указанный срок в уполномоченный орган соответствующей инициативы письменно/электронным документом (форма произвольная) по адресу электронной почты: priroda@kamgov.ru (с пометкой: </w:t>
              <w:br/>
              <w:t>«К общественным обсуждениям»).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в соответствии с законодательством Российской Федерации в области персональных данных.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Способ направления замечаний и предложений</w:t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zh-CN" w:bidi="hi-IN"/>
              </w:rPr>
              <w:t>В период проведения общественных обсуждений</w:t>
            </w:r>
            <w:r>
              <w:rPr>
                <w:rFonts w:eastAsia="NSimSun" w:cs="Lucida Sans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 xml:space="preserve"> с 26.05.2025 п</w:t>
            </w:r>
            <w:r>
              <w:rPr>
                <w:rFonts w:eastAsia="NSimSun" w:cs="Lucida Sans" w:ascii="Times New Roman" w:hAnsi="Times New Roman"/>
                <w:bCs/>
                <w:color w:val="000000"/>
                <w:kern w:val="0"/>
                <w:sz w:val="24"/>
                <w:szCs w:val="24"/>
                <w:highlight w:val="white"/>
                <w:lang w:val="ru-RU" w:eastAsia="zh-CN" w:bidi="hi-IN"/>
              </w:rPr>
              <w:t>о 27.06.2025 включительно участники общественных обсуждений имеют право</w:t>
            </w:r>
            <w:r>
              <w:rPr>
                <w:rFonts w:eastAsia="NSimSun" w:cs="Lucida Sans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 вносить предложения и замечания, касающиеся объекта обсуждений: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- в письменной форме или в форме электронного документа, направленного в уполномоченный орган (почтовый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адрес: 683040, г. Петропавловск-Камчатский, пл. Ленина, 1, к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онтактный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 xml:space="preserve">e-mail: priroda@kamgov.ru 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– с пометкой «К общественным обсуждениям»);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 (адрес: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г. Москва, Окружной проезд, 18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zh-CN" w:bidi="hi-IN"/>
              </w:rPr>
              <w:t>);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- в письменной или устной форме в ходе проведения слушаний (в случае их проведения).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u w:val="single"/>
                <w:lang w:val="ru-RU" w:eastAsia="zh-CN" w:bidi="hi-IN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-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- 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а также предоставляются: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-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- согласие на участие в подписании протокола общественных обсуждений.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NSimSun" w:cs="Lucida Sans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NSimSun" w:cs="Lucida Sans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NSimSun" w:cs="Lucida Sans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NSimSun" w:cs="Lucida Sans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1" w:customStyle="1">
    <w:name w:val="Заголовок1"/>
    <w:link w:val="1111"/>
    <w:qFormat/>
    <w:rPr>
      <w:rFonts w:ascii="Liberation Sans" w:hAnsi="Liberation San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Heading31" w:customStyle="1">
    <w:name w:val="Heading 31"/>
    <w:qFormat/>
    <w:rPr>
      <w:rFonts w:ascii="XO Thames" w:hAnsi="XO Thames"/>
      <w:b/>
      <w:sz w:val="26"/>
    </w:rPr>
  </w:style>
  <w:style w:type="character" w:styleId="List1" w:customStyle="1">
    <w:name w:val="List1"/>
    <w:basedOn w:val="Textbody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Caption1" w:customStyle="1">
    <w:name w:val="Caption1"/>
    <w:qFormat/>
    <w:rPr>
      <w:i/>
      <w:sz w:val="24"/>
    </w:rPr>
  </w:style>
  <w:style w:type="character" w:styleId="Heading51" w:customStyle="1">
    <w:name w:val="Heading 51"/>
    <w:qFormat/>
    <w:rPr>
      <w:rFonts w:ascii="XO Thames" w:hAnsi="XO Thames"/>
      <w:b/>
      <w:sz w:val="22"/>
    </w:rPr>
  </w:style>
  <w:style w:type="character" w:styleId="Textbody" w:customStyle="1">
    <w:name w:val="Text body"/>
    <w:qFormat/>
    <w:rPr/>
  </w:style>
  <w:style w:type="character" w:styleId="Heading11" w:customStyle="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8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11" w:customStyle="1">
    <w:name w:val="Гиперссылка1"/>
    <w:link w:val="113"/>
    <w:qFormat/>
    <w:rPr>
      <w:color w:themeColor="hyperlink" w:val="0563C1"/>
      <w:u w:val="single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12" w:customStyle="1">
    <w:name w:val="Указатель1"/>
    <w:link w:val="1112"/>
    <w:qFormat/>
    <w:rPr/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3" w:customStyle="1">
    <w:name w:val="Абзац списка1"/>
    <w:link w:val="ListParagraph1"/>
    <w:qFormat/>
    <w:rPr/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Heading41" w:customStyle="1">
    <w:name w:val="Heading 41"/>
    <w:qFormat/>
    <w:rPr>
      <w:rFonts w:ascii="XO Thames" w:hAnsi="XO Thames"/>
      <w:b/>
      <w:sz w:val="24"/>
    </w:rPr>
  </w:style>
  <w:style w:type="character" w:styleId="Heading21" w:customStyle="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111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2" w:customStyle="1">
    <w:name w:val="Указатель11"/>
    <w:basedOn w:val="Normal"/>
    <w:qFormat/>
    <w:pPr>
      <w:suppressLineNumbers/>
    </w:pPr>
    <w:rPr/>
  </w:style>
  <w:style w:type="paragraph" w:styleId="1111" w:customStyle="1">
    <w:name w:val="Заголовок111"/>
    <w:basedOn w:val="Normal"/>
    <w:next w:val="BodyText"/>
    <w:link w:val="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2" w:customStyle="1">
    <w:name w:val="Указатель111"/>
    <w:basedOn w:val="Normal"/>
    <w:link w:val="12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Internetlink" w:customStyle="1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113" w:customStyle="1">
    <w:name w:val="Гиперссылка11"/>
    <w:basedOn w:val="Normal"/>
    <w:link w:val="11"/>
    <w:qFormat/>
    <w:pPr/>
    <w:rPr>
      <w:color w:themeColor="hyperlink" w:val="0563C1"/>
      <w:u w:val="single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ListParagraph1" w:customStyle="1">
    <w:name w:val="List Paragraph1"/>
    <w:basedOn w:val="Normal"/>
    <w:link w:val="13"/>
    <w:qFormat/>
    <w:pPr>
      <w:spacing w:before="0" w:after="160"/>
      <w:ind w:left="720"/>
      <w:contextualSpacing/>
    </w:pPr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Lucida Sans"/>
      <w:i/>
      <w:color w:val="00000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NSimSun" w:cs="Lucida Sans"/>
      <w:b/>
      <w:caps/>
      <w:color w:val="000000"/>
      <w:kern w:val="0"/>
      <w:sz w:val="40"/>
      <w:szCs w:val="20"/>
      <w:lang w:val="ru-RU" w:eastAsia="zh-CN" w:bidi="hi-IN"/>
    </w:rPr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numbering" w:styleId="Style1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dilmas.ru" TargetMode="External"/><Relationship Id="rId3" Type="http://schemas.openxmlformats.org/officeDocument/2006/relationships/hyperlink" Target="mailto:info@tehnoprogress.ru" TargetMode="External"/><Relationship Id="rId4" Type="http://schemas.openxmlformats.org/officeDocument/2006/relationships/hyperlink" Target="mailto:priroda@kamgov.ru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LibreOffice/24.2.7.2$Windows_X86_64 LibreOffice_project/ee3885777aa7032db5a9b65deec9457448a91162</Application>
  <AppVersion>15.0000</AppVersion>
  <Pages>4</Pages>
  <Words>935</Words>
  <Characters>7494</Characters>
  <CharactersWithSpaces>8375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2025-05-19T06:15:00Z</dcterms:created>
  <dc:creator>Грошева Светлана Валерьевна</dc:creator>
  <dc:description/>
  <dc:language>ru-RU</dc:language>
  <cp:lastModifiedBy/>
  <dcterms:modified xsi:type="dcterms:W3CDTF">2025-05-20T11:21:06Z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