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lastRow="0" w:firstRow="0" w:lastColumn="0" w:firstColumn="0" w:val="0000" w:noHBand="0" w:noVBand="0"/>
      </w:tblPr>
      <w:tblGrid>
        <w:gridCol w:w="4110"/>
        <w:gridCol w:w="6094"/>
      </w:tblGrid>
      <w:tr>
        <w:trPr>
          <w:trHeight w:val="4252" w:hRule="atLeast"/>
        </w:trPr>
        <w:tc>
          <w:tcPr>
            <w:tcW w:w="4110" w:type="dxa"/>
            <w:tcBorders/>
          </w:tcPr>
          <w:p>
            <w:pPr>
              <w:pStyle w:val="Normal"/>
              <w:jc w:val="center"/>
              <w:rPr/>
            </w:pPr>
            <w:r>
              <w:rPr/>
              <w:drawing>
                <wp:inline distT="0" distB="0" distL="0" distR="0">
                  <wp:extent cx="708660" cy="842645"/>
                  <wp:effectExtent l="0" t="0" r="0" b="0"/>
                  <wp:docPr id="1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84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ind w:hanging="0" w:left="0"/>
              <w:jc w:val="center"/>
              <w:outlineLvl w:val="0"/>
              <w:rPr>
                <w:b/>
                <w:spacing w:val="5"/>
                <w:szCs w:val="17"/>
                <w:lang w:eastAsia="ar-SA"/>
              </w:rPr>
            </w:pPr>
            <w:r>
              <w:rPr>
                <w:b/>
                <w:spacing w:val="5"/>
                <w:szCs w:val="17"/>
                <w:lang w:eastAsia="ar-SA"/>
              </w:rPr>
              <w:t>ФСТЭК РОССИИ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spacing w:lineRule="auto" w:line="216" w:before="120" w:after="0"/>
              <w:ind w:hanging="0" w:left="0"/>
              <w:jc w:val="center"/>
              <w:outlineLvl w:val="3"/>
              <w:rPr>
                <w:b/>
                <w:spacing w:val="-3"/>
                <w:sz w:val="20"/>
                <w:szCs w:val="17"/>
                <w:lang w:eastAsia="ar-SA"/>
              </w:rPr>
            </w:pPr>
            <w:r>
              <w:rPr>
                <w:b/>
                <w:spacing w:val="-3"/>
                <w:sz w:val="20"/>
                <w:szCs w:val="17"/>
                <w:lang w:eastAsia="ar-SA"/>
              </w:rPr>
              <w:t>УПРАВЛЕНИЕ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spacing w:lineRule="auto" w:line="216"/>
              <w:ind w:hanging="0" w:left="0"/>
              <w:jc w:val="center"/>
              <w:outlineLvl w:val="3"/>
              <w:rPr>
                <w:b/>
                <w:spacing w:val="-3"/>
                <w:sz w:val="20"/>
                <w:szCs w:val="17"/>
                <w:lang w:eastAsia="ar-SA"/>
              </w:rPr>
            </w:pPr>
            <w:r>
              <w:rPr>
                <w:b/>
                <w:spacing w:val="-3"/>
                <w:sz w:val="20"/>
                <w:szCs w:val="17"/>
                <w:lang w:eastAsia="ar-SA"/>
              </w:rPr>
              <w:t>ФЕДЕРАЛЬНОЙ СЛУЖБЫ</w:t>
            </w:r>
          </w:p>
          <w:p>
            <w:pPr>
              <w:pStyle w:val="Normal"/>
              <w:spacing w:lineRule="auto" w:line="216"/>
              <w:jc w:val="center"/>
              <w:rPr>
                <w:b/>
                <w:spacing w:val="-3"/>
                <w:sz w:val="20"/>
                <w:szCs w:val="17"/>
                <w:lang w:eastAsia="ar-SA"/>
              </w:rPr>
            </w:pPr>
            <w:r>
              <w:rPr>
                <w:b/>
                <w:spacing w:val="-3"/>
                <w:sz w:val="20"/>
                <w:szCs w:val="17"/>
                <w:lang w:eastAsia="ar-SA"/>
              </w:rPr>
              <w:t>ПО ТЕХНИЧЕСКОМУ И</w:t>
            </w:r>
          </w:p>
          <w:p>
            <w:pPr>
              <w:pStyle w:val="Normal"/>
              <w:spacing w:lineRule="auto" w:line="216"/>
              <w:jc w:val="center"/>
              <w:rPr>
                <w:b/>
                <w:spacing w:val="-3"/>
                <w:sz w:val="20"/>
                <w:szCs w:val="17"/>
                <w:lang w:eastAsia="ar-SA"/>
              </w:rPr>
            </w:pPr>
            <w:r>
              <w:rPr>
                <w:b/>
                <w:spacing w:val="-3"/>
                <w:sz w:val="20"/>
                <w:szCs w:val="17"/>
                <w:lang w:eastAsia="ar-SA"/>
              </w:rPr>
              <w:t>ЭКСПОРТНОМУ КОНТРОЛЮ</w:t>
            </w:r>
          </w:p>
          <w:p>
            <w:pPr>
              <w:pStyle w:val="Normal"/>
              <w:spacing w:lineRule="auto" w:line="216"/>
              <w:jc w:val="center"/>
              <w:rPr>
                <w:b/>
                <w:spacing w:val="-3"/>
                <w:sz w:val="20"/>
                <w:szCs w:val="17"/>
                <w:lang w:eastAsia="ar-SA"/>
              </w:rPr>
            </w:pPr>
            <w:r>
              <w:rPr>
                <w:b/>
                <w:spacing w:val="-3"/>
                <w:sz w:val="20"/>
                <w:szCs w:val="17"/>
                <w:lang w:eastAsia="ar-SA"/>
              </w:rPr>
              <w:t>ПО ДАЛЬНЕВОСТОЧНОМУ</w:t>
            </w:r>
          </w:p>
          <w:p>
            <w:pPr>
              <w:pStyle w:val="Normal"/>
              <w:spacing w:lineRule="auto" w:line="216"/>
              <w:jc w:val="center"/>
              <w:rPr>
                <w:b/>
                <w:spacing w:val="-3"/>
                <w:sz w:val="20"/>
                <w:szCs w:val="17"/>
                <w:lang w:eastAsia="ar-SA"/>
              </w:rPr>
            </w:pPr>
            <w:r>
              <w:rPr>
                <w:b/>
                <w:spacing w:val="-3"/>
                <w:sz w:val="20"/>
                <w:szCs w:val="17"/>
                <w:lang w:eastAsia="ar-SA"/>
              </w:rPr>
              <w:t>ФЕДЕРАЛЬНОМУ ОКРУГУ</w:t>
            </w:r>
          </w:p>
          <w:p>
            <w:pPr>
              <w:pStyle w:val="Normal"/>
              <w:spacing w:before="60" w:after="0"/>
              <w:jc w:val="center"/>
              <w:rPr>
                <w:spacing w:val="-2"/>
                <w:sz w:val="18"/>
                <w:szCs w:val="18"/>
                <w:lang w:eastAsia="ar-SA"/>
              </w:rPr>
            </w:pPr>
            <w:r>
              <w:rPr>
                <w:spacing w:val="-2"/>
                <w:sz w:val="18"/>
                <w:szCs w:val="18"/>
                <w:lang w:eastAsia="ar-SA"/>
              </w:rPr>
              <w:t>Ул. Ленина, д. 37, г. Хабаровск, 680030</w:t>
            </w:r>
          </w:p>
          <w:p>
            <w:pPr>
              <w:pStyle w:val="Normal"/>
              <w:jc w:val="center"/>
              <w:rPr>
                <w:spacing w:val="-2"/>
                <w:sz w:val="18"/>
                <w:szCs w:val="18"/>
                <w:lang w:eastAsia="ar-SA"/>
              </w:rPr>
            </w:pPr>
            <w:r>
              <w:rPr>
                <w:spacing w:val="-2"/>
                <w:sz w:val="18"/>
                <w:szCs w:val="18"/>
                <w:lang w:eastAsia="ar-SA"/>
              </w:rPr>
              <w:t>Тел., факс (4212) 35-11-08</w:t>
            </w:r>
          </w:p>
          <w:p>
            <w:pPr>
              <w:pStyle w:val="Normal"/>
              <w:jc w:val="center"/>
              <w:rPr/>
            </w:pPr>
            <w:r>
              <w:rPr>
                <w:spacing w:val="-2"/>
                <w:sz w:val="18"/>
                <w:szCs w:val="18"/>
                <w:lang w:val="en-US" w:eastAsia="ar-SA"/>
              </w:rPr>
              <w:t>E</w:t>
            </w:r>
            <w:r>
              <w:rPr>
                <w:spacing w:val="-2"/>
                <w:sz w:val="18"/>
                <w:szCs w:val="18"/>
                <w:lang w:eastAsia="ar-SA"/>
              </w:rPr>
              <w:t>-</w:t>
            </w:r>
            <w:r>
              <w:rPr>
                <w:spacing w:val="-2"/>
                <w:sz w:val="18"/>
                <w:szCs w:val="18"/>
                <w:lang w:val="en-US" w:eastAsia="ar-SA"/>
              </w:rPr>
              <w:t>mail</w:t>
            </w:r>
            <w:r>
              <w:rPr>
                <w:spacing w:val="-2"/>
                <w:sz w:val="18"/>
                <w:szCs w:val="18"/>
                <w:lang w:eastAsia="ar-SA"/>
              </w:rPr>
              <w:t xml:space="preserve">: </w:t>
            </w:r>
            <w:r>
              <w:rPr>
                <w:spacing w:val="-2"/>
                <w:sz w:val="18"/>
                <w:szCs w:val="18"/>
                <w:u w:val="single"/>
                <w:lang w:val="en-US" w:eastAsia="ar-SA"/>
              </w:rPr>
              <w:t>dfo</w:t>
            </w:r>
            <w:r>
              <w:rPr>
                <w:spacing w:val="-2"/>
                <w:sz w:val="18"/>
                <w:szCs w:val="18"/>
                <w:u w:val="single"/>
                <w:lang w:eastAsia="ar-SA"/>
              </w:rPr>
              <w:t>@</w:t>
            </w:r>
            <w:r>
              <w:rPr>
                <w:spacing w:val="-2"/>
                <w:sz w:val="18"/>
                <w:szCs w:val="18"/>
                <w:u w:val="single"/>
                <w:lang w:val="en-US" w:eastAsia="ar-SA"/>
              </w:rPr>
              <w:t>fstec</w:t>
            </w:r>
            <w:r>
              <w:rPr>
                <w:spacing w:val="-2"/>
                <w:sz w:val="18"/>
                <w:szCs w:val="18"/>
                <w:u w:val="single"/>
                <w:lang w:eastAsia="ar-SA"/>
              </w:rPr>
              <w:t>.</w:t>
            </w:r>
            <w:r>
              <w:rPr>
                <w:spacing w:val="-2"/>
                <w:sz w:val="18"/>
                <w:szCs w:val="18"/>
                <w:u w:val="single"/>
                <w:lang w:val="en-US" w:eastAsia="ar-SA"/>
              </w:rPr>
              <w:t>ru</w:t>
            </w:r>
          </w:p>
          <w:p>
            <w:pPr>
              <w:pStyle w:val="Normal"/>
              <w:rPr/>
            </w:pPr>
            <w:r>
              <w:rPr>
                <w:spacing w:val="-4"/>
                <w:sz w:val="20"/>
                <w:szCs w:val="20"/>
                <w:lang w:eastAsia="ar-SA"/>
              </w:rPr>
              <w:t>______________________ 2025 г. № ___________</w:t>
            </w:r>
          </w:p>
          <w:p>
            <w:pPr>
              <w:pStyle w:val="Normal"/>
              <w:rPr/>
            </w:pPr>
            <w:r>
              <w:rPr>
                <w:spacing w:val="-4"/>
                <w:sz w:val="20"/>
                <w:szCs w:val="20"/>
                <w:lang w:eastAsia="ar-SA"/>
              </w:rPr>
              <w:t>На № _____________________________________</w:t>
            </w:r>
          </w:p>
          <w:p>
            <w:pPr>
              <w:pStyle w:val="Normal"/>
              <w:rPr>
                <w:bCs/>
                <w:sz w:val="10"/>
                <w:szCs w:val="17"/>
              </w:rPr>
            </w:pPr>
            <w:r>
              <w:rPr>
                <w:bCs/>
                <w:sz w:val="10"/>
                <w:szCs w:val="17"/>
              </w:rPr>
            </w:r>
          </w:p>
        </w:tc>
        <w:tc>
          <w:tcPr>
            <w:tcW w:w="6094" w:type="dxa"/>
            <w:tcBorders/>
            <w:tcMar>
              <w:left w:w="108" w:type="dxa"/>
              <w:right w:w="108" w:type="dxa"/>
            </w:tcMar>
          </w:tcPr>
          <w:p>
            <w:pPr>
              <w:pStyle w:val="Normal"/>
              <w:ind w:left="907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ind w:left="907" w:right="-1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  <w:tab w:val="left" w:pos="7157" w:leader="none"/>
              </w:tabs>
              <w:spacing w:before="0" w:after="60"/>
              <w:ind w:left="907" w:right="-17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</w:r>
          </w:p>
          <w:p>
            <w:pPr>
              <w:pStyle w:val="Normal"/>
              <w:tabs>
                <w:tab w:val="clear" w:pos="709"/>
                <w:tab w:val="left" w:pos="7157" w:leader="none"/>
              </w:tabs>
              <w:spacing w:before="0" w:after="60"/>
              <w:ind w:left="907" w:right="-170"/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</w:r>
          </w:p>
          <w:p>
            <w:pPr>
              <w:pStyle w:val="Normal"/>
              <w:ind w:left="567" w:right="-170"/>
              <w:jc w:val="center"/>
              <w:rPr/>
            </w:pPr>
            <w:r>
              <w:rPr>
                <w:sz w:val="28"/>
                <w:szCs w:val="28"/>
              </w:rPr>
              <w:t>Председателям Советов</w:t>
              <w:br/>
              <w:t>по информационной безопасности</w:t>
              <w:br/>
              <w:t>при главах высших исполнительных</w:t>
              <w:br/>
              <w:t>органов государственной власти</w:t>
              <w:br/>
              <w:t>субъектов Российской Федерации</w:t>
              <w:br/>
              <w:t>в Дальневосточном федеральном округе</w:t>
            </w:r>
          </w:p>
        </w:tc>
      </w:tr>
    </w:tbl>
    <w:p>
      <w:pPr>
        <w:pStyle w:val="Normal"/>
        <w:spacing w:lineRule="exact" w:line="227"/>
        <w:ind w:right="606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exact" w:line="227"/>
        <w:ind w:right="6066"/>
        <w:jc w:val="both"/>
        <w:rPr>
          <w:szCs w:val="28"/>
        </w:rPr>
      </w:pPr>
      <w:r>
        <w:rPr>
          <w:szCs w:val="28"/>
        </w:rPr>
        <w:t xml:space="preserve">О мерах по повышению защищенности информационной инфраструктуры </w:t>
      </w:r>
    </w:p>
    <w:p>
      <w:pPr>
        <w:pStyle w:val="Normal"/>
        <w:spacing w:lineRule="exact" w:line="227"/>
        <w:ind w:right="606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exact" w:line="227"/>
        <w:ind w:right="606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exact" w:line="227"/>
        <w:ind w:right="606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exact" w:line="227"/>
        <w:ind w:right="6066"/>
        <w:jc w:val="both"/>
        <w:rPr>
          <w:szCs w:val="28"/>
        </w:rPr>
      </w:pPr>
      <w:r>
        <w:rPr>
          <w:szCs w:val="28"/>
        </w:rPr>
      </w:r>
    </w:p>
    <w:p>
      <w:pPr>
        <w:pStyle w:val="Standard19"/>
        <w:suppressAutoHyphens w:val="true"/>
        <w:spacing w:lineRule="auto" w:line="22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По результатам анализа сведений об угрозах безопасности информации</w:t>
        <w:br/>
        <w:t>и деятельности хакерских группировок, проводимого специалистами ФСТЭК России</w:t>
        <w:br/>
        <w:t>в условиях сложившейся обстановки, выявлены сведения о деятельности хакерских группировок и распространяемом ими вредоносном программном обеспечении.</w:t>
      </w:r>
    </w:p>
    <w:p>
      <w:pPr>
        <w:pStyle w:val="Standard19"/>
        <w:suppressAutoHyphens w:val="true"/>
        <w:spacing w:lineRule="auto" w:line="22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В соответствии с подпунктом «е» пункта 1 Указа Президента</w:t>
        <w:br/>
        <w:t>Российской Федерации от 1 мая 2022 г. № 250 «О дополнительных мерах</w:t>
        <w:br/>
        <w:t>по обеспечению информационной безопасности Российской Федерации» направляем организационные и технические меры по повышению защищенности информационной инфраструктуры органа (организации), подлежащие реализации.</w:t>
      </w:r>
    </w:p>
    <w:p>
      <w:pPr>
        <w:pStyle w:val="Standard19"/>
        <w:suppressAutoHyphens w:val="true"/>
        <w:spacing w:lineRule="auto" w:line="22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1. Хакерской группировкой Paper Werewolf, нацеленной на органы государственной власти и субъекты критической информационной инфраструктуры Российской Федерации, осуществляются фишинговые рассылки электронных писем</w:t>
        <w:br/>
        <w:t>от лица ФСТЭК России. Во вложениях указанных писем прикреплен файл, замаскированный под легитимный документ. После запуска пользователем указанного файла осуществляется демонстрация письма ФСТЭК России, выполнение команд оболочки сценариев PowerShell и внедрение на целевую систему вредоносного программного обеспечения типа «загрузчик».</w:t>
      </w:r>
    </w:p>
    <w:p>
      <w:pPr>
        <w:pStyle w:val="Standard19"/>
        <w:suppressAutoHyphens w:val="true"/>
        <w:spacing w:lineRule="auto" w:line="22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указанной хакерской группировки по фишинговым рассылкам, необходимо принять следующие меры защиты.</w:t>
      </w:r>
    </w:p>
    <w:p>
      <w:pPr>
        <w:pStyle w:val="Standard19"/>
        <w:suppressAutoHyphens w:val="true"/>
        <w:spacing w:lineRule="auto" w:line="22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1.1. Производить проверку почтовых вложений с использованием средств антивирусной защиты:</w:t>
      </w:r>
    </w:p>
    <w:p>
      <w:pPr>
        <w:pStyle w:val="Standard19"/>
        <w:suppressAutoHyphens w:val="true"/>
        <w:spacing w:lineRule="auto" w:line="22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антивирусного средства Kaspersky Endpoint Security необходимо использовать функцию «Защита от почтовых угроз». Для того чтобы включить указанную функцию, необходимо перейти в настройки приложения и в разделе «Базовая защита» активировать функцию «Защита от почтовых угроз»;</w:t>
      </w:r>
    </w:p>
    <w:p>
      <w:pPr>
        <w:pStyle w:val="Standard19"/>
        <w:suppressAutoHyphens w:val="true"/>
        <w:spacing w:lineRule="auto" w:line="22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антивирусного средства Dr.Web Security Space необходимо использовать утилиту SpIDer Mail. Для того чтобы задействовать указанную утилиту, необходимо перейти в настройки приложения и в разделе «Компоненты защиты» выбрать</w:t>
        <w:br/>
        <w:t>и активировать утилиту SpIDer Mail.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0"/>
          <w:kern w:val="2"/>
          <w:sz w:val="28"/>
          <w:szCs w:val="28"/>
          <w:shd w:fill="auto" w:val="clear"/>
          <w:lang w:val="ru-RU" w:eastAsia="zh-CN" w:bidi="ar-SA"/>
        </w:rPr>
        <w:t>1.2. Проверять имя домена отправителя электронного письма в целях идентификации отправителя. Для этого необходимо обращать внимание</w:t>
        <w:br/>
        <w:t>на наименование почтового адреса (домена), указанного после символа «@»,</w:t>
        <w:br/>
        <w:t>и сопоставлять его с адресами (доменами) органов (организаций), с которыми осуществляется служебная переписка.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1.3. Организовать получение почтовых вложений только от известных отправителей. Для этого необходимо организовать ведение списков адресов электронной почты органов (организаций), с которыми осуществляется взаимодействие.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1.4. Не открывать и не загружать почтовые вложения писем с тематикой,</w:t>
        <w:br/>
        <w:t>не относящейся к деятельности органа (организации).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1.5. Осуществлять работу с электронной почтой под учетными записями пользователей операционной системы с минимальными возможными привилегиями: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операционных систем семейства Microsoft Windows ограничение привилегий можно осуществить через «Панель управления» - «Учетные записи пользователей» - «Управление учетными записями»;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операционных систем семейства Linux возможно использование команд chmod, chown, chgrp для разграничения прав доступа к файлам и директориям</w:t>
        <w:br/>
        <w:t>как отдельных пользователей, так и групп пользователей.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1.6 Ограничить возможность получения электронной почты с адреса postin@fstek[.]ru Обеспечить на уровне сетевых средств защиты информации ограничение обращений к следующим адресам, используя схему доступа по «черным» или «белым» спискам: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barrelize[.]org;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tributetropic[.]org;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hxxps[:]//barrelize[.]org/playhouse/dustbins/folkish/generators/curling;</w:t>
      </w:r>
    </w:p>
    <w:p>
      <w:pPr>
        <w:pStyle w:val="Standard19"/>
        <w:widowControl/>
        <w:suppressAutoHyphens w:val="true"/>
        <w:spacing w:lineRule="auto" w:line="216" w:before="0" w:after="0"/>
        <w:ind w:firstLine="618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hxxps[:]//tributetropic[.]org/playhouse/dustbins/folkish/generators/curlings[.]dotm.</w:t>
      </w:r>
    </w:p>
    <w:p>
      <w:pPr>
        <w:pStyle w:val="Standard19"/>
        <w:widowControl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Обращаем внимание, что редактирование в активное состояние ссылок</w:t>
        <w:br/>
        <w:t>на вредоносное программное обеспечение и серверы управления злоумышленников, приведенных в настоящем письме, а также переход по данным ссылкам не допускается, так как создает предпосылки к распространению вредоносного программного обеспечения.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1.7. 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следующих индикаторов компрометации (sha256):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2318600c7bd150e8bf06b0301635598cc799ce2a9a60308027eb63a033f97ceb;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9641870ec560c0463d86f482cbd1cb6ea34c3db23d40ad80833cd59739cd33b6;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faf35266966ce5432b312d4120cafd95f1c6187db0f1f4b6d6c579c339d66f55;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19a848d4121b74b59438c3e0552e5f697180e1e2695f3e6adb353aed4915ca99;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1dcbf2774f505b45368ff0541da4117dce0e4763b85d9ccba20e7298b2425ec9;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580839bf75b910a2251f21f1cea006c6f1e84fcde03b696a7e8b163278042b80;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42c0e046e039029633683df8e192e6a0cb1621d387337d91e05339db8cffb94f;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677e4f461dca20c6e24efbefd47b115722b2eafbd2dc00718c08a393e687bd80;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ed41a4b1f989839a5ad97aaff30dbdf28aeb4fde6d3068a96cb83da27d298d5da.</w:t>
      </w:r>
    </w:p>
    <w:p>
      <w:pPr>
        <w:pStyle w:val="Standard19"/>
        <w:suppressAutoHyphens w:val="true"/>
        <w:spacing w:lineRule="auto" w:line="216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2. Хакерской группировкой BO Team (Lifting Zmiy, Hoody Hyena), нацеленной</w:t>
        <w:br/>
        <w:t>на органы государственной власти и субъекты критической информационной инфраструктуры Российской Федерации, осуществляются фишинговые рассылки электронных писем, во вложениях которых прикреплен файл с расширением «.pdf». После запуска пользователем указанного файла осуществляется внедрение на целевую систему вредоносного программного обеспечения типов «бэкдор» (DarkGate, BrockenDoor и Remcos) и «шифровальщик» (Babuk).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указанной хакерской группировки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следующим адресам, используя схему доступа по «черным» или «белым» спискам: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invuln[.]xyz;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railradman[.]site;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dzeninfra[.]site;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dzeninfra[.]xyz;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sso[.]dzeninfra[.]site;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sso[.]dzeninfra[.]xyz;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wincertfm[.]store;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wmiadap[.]xyz;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wmiadap[.]sbs;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wmiadap[.]cfd;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194[.]190[.]152[.]251;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194[.]113[.]106[.]51;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193[.]124[.]33[.]172;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45[.]144[.]30[.]144;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193[.]124[.]33[.]184;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194[.]190[.]152[.]149;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194[.]87[.]252[.]221;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194[.]87[.]252[.]171.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индикаторов компрометации, указанных в приложении</w:t>
        <w:br/>
        <w:t>к настоящим рекомендациям.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6"/>
          <w:kern w:val="2"/>
          <w:sz w:val="28"/>
          <w:szCs w:val="28"/>
          <w:shd w:fill="auto" w:val="clear"/>
          <w:lang w:val="ru-RU" w:eastAsia="zh-CN" w:bidi="ar-SA"/>
        </w:rPr>
        <w:t>3. Хакерской группировкой PhantomCore, нацеленной на органы государственной власти и субъекты критической информационной инфраструктуры</w:t>
        <w:br/>
        <w:t>Российской Федерации, осуществляются фишинговые рассылки электронных писем</w:t>
        <w:br/>
        <w:t>с тематикой «Документы на рассмотрение (повторно)». Во вложениях указанных писем прикреплен архив с наименованием «Документы_на_рассмотрение.zip», внутри которого содержатся файл-приманка с наименованием «Сопроводительное_письмо.pdf» и файл-ярлык с наименованием «Договор_23702_05_05_2025.pdf.lnk». После запуска пользователем указанного файла-ярлыка осуществляется демонстрация документа-приманки и внедрение на целевую систему вредоносного программного обеспечения типа «бэкдор» (PhantomeCore.GreqBackdoor v.2).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указанной хакерской группировки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следующим адресам, используя схему доступа по «черным» или «белым» спискам: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supportsecure[.]ru;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supportsecurity[.]ru;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updatesioa[.]ru;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updatecanonical[.]ru;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rawgithubcontent[.]ru;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syncpulse[.]ru;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airgrupdate[.]ru;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mastersync[.]ru;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updateapi[.]ru;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195[.]133[.]32[.]194;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195[.]58[.]54[.]39;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update54[.]ru;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officesync[.]ru;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hxxp[:]//195[.]58[.]54[.]39[:]80/command;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hxxp[:]//195[.]58[.]54[.]39[:]80/init;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hxxp[:]//195[.]58[.]54[.]39[:]80/check;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hxxp[:]//195[.]58[.]54[.]39[:]80/connect.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Также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следующих индикаторов компрометации (sha256):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278f051832c4b2c95ba899d685478bd3430f74d21aea367377cc17788c3a5638;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656a47064ee26b49204412889e7f2ff4c98ebb8579e01cca84679ff31688e6ea;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31cc62a06720e0c20f03e0cb912bb92b20e5f339ae9c7280b235f63ac35eda9a;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9287fd8adc333469eabe655ccf13b78e1abb6e42c0cc6817ae66372fb126a683;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c34fb316e7b60cff25be9c86e5736b802b9e99b1ac29daa03b08c3435b6ada8c;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c67cf425d688bba6dbe00e6d86a501f6978664ff99c1811c7104f4a3f4b7e884.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4. Хакерской группировкой Vengeful Wolf, нацеленной на органы государственной власти и субъекты критической информационной инфраструктуры Российской Федерации, осуществляются фишинговые рассылки электронных писем</w:t>
        <w:br/>
        <w:t>с тематикой «Акт сверки». Во вложениях указанных писем прикреплен архив</w:t>
        <w:br/>
        <w:t>с наименованием «1.zip». Архив содержит файл-приманку с наименованием «Образец.rtf» и исполняемый файл с наименованием «Aкт cвepки взaимopacчeтoв</w:t>
        <w:br/>
        <w:t>пo cocтoянию нa 28.05.2025 гoдa.scr». После запуска пользователем указанного исполняемого файла осуществляется внедрение на целевую систему вредоносного программного обеспечения типа «троян удаленного доступа» (Revenge RAT).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указанной хакерской группировки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6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адресам, указанным в приложении к настоящим рекомендациям, используя схему доступа по «черным» или «белым» спискам.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6"/>
          <w:kern w:val="2"/>
          <w:sz w:val="28"/>
          <w:szCs w:val="28"/>
          <w:shd w:fill="auto" w:val="clear"/>
          <w:lang w:val="ru-RU" w:eastAsia="zh-CN" w:bidi="ar-SA"/>
        </w:rPr>
        <w:t>Также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индикаторов компрометации, указанных в приложении к настоящим рекомендациям.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5. Хакерскими группировками, нацеленными на органы государственной власти и субъекты критической информационной инфраструктуры Российской Федерации, осуществляются фишинговые рассылки электронных писем, во вложениях которых прикреплен исполняемый файл с расширением «.msi». После запуска пользователем указанного исполняемого файла осуществляется внедрение на целевую систему вредоносного программного обеспечения типа «троян удаленного доступа».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указанных хакерских группировок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следующим адресам, используя схему доступа по «черным» или «белым» спискам: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18[.]231[.]162[.]77;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107[.]174[.]231[.]26;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142[.]54[.]185[.]178;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54[.]207[.]88[.]51;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atual2025[.]com;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clientepj[.]com;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computadorpj[.]com;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financial-executive[.]com;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hamrah-tejarat[.]com;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nfe-fiscal[.]com;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ranchocentral[.]com;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servidor2025[.]com;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syarousi-search[.]com;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nf-eletronica[.]org;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relay[.]lombrelone[.]com;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webrelayapi[.]online;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hxxps[:]//github[.]com/contaaws20251.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Также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индикаторов компрометации, указанных в приложении</w:t>
        <w:br/>
        <w:t>к настоящим рекомендациям.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6. Хакерской группировкой Cloud Werewolf, нацеленной на органы государственной власти и субъекты критической информационной инфраструктуры Российской Федерации, осуществляются фишинговые рассылки электронных писем, во вложениях которых прикреплен файл с наименованием «О восстановлении документов гражданину Беларуси.doc». После запуска пользователем указанного файла осуществляется выполнение вредоносного VBS-скрипта и внедрение на целевую систему вредоносного программного обеспечения типа «бэкдор» (VBShower, VBCloud и PowerShower).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указанной хакерской группировки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адресу hxxps[:]//transferpolicy[.]org/?plugins_cherry-team-members/public/assets/css/font-awesome[.]min[.]css/preobviously, используя схему доступа по «черным» или «белым» спискам.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Также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следующего индикатора компрометации (sha256):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5e9b2f0121695f55d7de6a6e3385a68cab37cce8982de2ccd541e698e249166c.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0"/>
          <w:kern w:val="2"/>
          <w:sz w:val="28"/>
          <w:szCs w:val="28"/>
          <w:shd w:fill="auto" w:val="clear"/>
          <w:lang w:val="ru-RU" w:eastAsia="zh-CN" w:bidi="ar-SA"/>
        </w:rPr>
        <w:t>7. Хакерской группировкой Stone Wolf, нацеленной на органы государственной власти и субъекты критической информационной инфраструктуры</w:t>
      </w: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br/>
        <w:t>Российской Федерации, осуществляются фишинговые рассылки электронных писем,</w:t>
        <w:br/>
        <w:t>в тексте которых прикреплена ссылка на загрузку архива, содержащего исполняемый файл, замаскированный под легитимный PDF-документ. После запуска пользователем указанного файла осуществляется внедрение на целевую систему вредоносного программного обеспечения типа «бэкдор» (BrockenDoor).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указанной хакерской группировки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следующим адресам, используя схему доступа по «черным» или «белым» спискам: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rzd-partner[.]pro;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rzd-partner[.]store;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194[.]190[.]153[.]198;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hxxps[:]//rzd-partner[.]store/RZD_Forum_28[.]05[.]rar;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hxxps[:]//rzd-partner[.]pro/RZD_Forum_28[.]05[.]rar;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hxxp[:]//194[.]190[.]153[.]198[:]7194/t.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Также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следующих индикаторов компрометации (sha256):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322d51d71780f700cfb3917741b4567f6ab88d8b854229c9bffab6f2ac6b2338;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6d69e302fcce1cf680e696e75de2623a2384b9871ec75ef13e9c2bc7c98f701a;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429b0362eeeebb0886f09beda98196c8247f2e2db50822ff62de773ef1fe8b0b;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63fb3d9e3d5820997a24ad240c617099bc27fe9b61247b8134cf6b6ffaac3527;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091bd6efb4cb2cdc546fb109079ac9214f3d6b6448cf3dcda3c7a31f1b2e30da;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7cb5488440f9ad666c4ae1aa50fae09ba9742514d52e3b2f4bac6ffb2e350091;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0b5fe6633ac65ae28a444d6d91532e0c605c184ebd3d7945b07a871b42aeec37;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b820d1c3bb8ae60efca9f08836fce4e0b3e5407c83a1f6af82c55c911603cb99;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3baa3844839a73155545d31d2d5761b5c283746d1bbe828bef3a83bd2cb4372e;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1a3ea28f0c15beed5bdc051b3525db390927212dfd76ba8e4e89afa0d2577a3e.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8. Хакерской группировкой Sapphire Werewolf, нацеленной на органы государственной власти и субъекты критической информационной инфраструктуры Российской Федерации, осуществляются фишинговые рассылки электронных писем,</w:t>
        <w:br/>
        <w:t>в тексте которых прикреплена ссылка на загрузку архива, содержащего исполняемый файл с наименованием «Служебная записка.exe», замаскированный под легитимный PDF-документ. После запуска пользователем указанного файла осуществляется внедрение на целевую систему вредоносного программного обеспечения типа «стилер» (AmethystStealer).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указанной хакерской группировки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28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2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следующим адресам, используя схему доступа по «черным» или «белым» спискам: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hxxp[:]//elk-divine-immensely[.]ngrok-free[.]app/;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hxxps[:]//elk-divine-immensely[.]ngrok-free[.]app/;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8"/>
          <w:kern w:val="2"/>
          <w:sz w:val="28"/>
          <w:szCs w:val="28"/>
          <w:shd w:fill="auto" w:val="clear"/>
          <w:lang w:val="ru-RU" w:eastAsia="zh-CN" w:bidi="ar-SA"/>
        </w:rPr>
        <w:t>hxxp[:]//canarytokens[.]com/traffic/tags/static/xjemqlqirwqru9pkrh3j4ztmf/payments[.]js.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Также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следующих индикаторов компрометации (sha256):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e30a77f93998b2cd96eb48195df53c9bf3e8b53d1fdf827b5a577fe149f0290f;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23b2fe3498f136f5a7f2e3dbbd0560116f1fc82b7f635349ab0c08fbaca4e9bf;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afebef5c1029dc102a8a18fda2bf93d9ee2af3d29d80479a3c22ee18d6f169bf;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95258dfa06e459d91672b707a743a423a1d00484ba26e0426fb6715c12f6b2de;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9eb1254e6343e0184e0a81972e0860dba0da24fea387a0c05c0c8660442a69c1.</w:t>
      </w:r>
    </w:p>
    <w:p>
      <w:pPr>
        <w:pStyle w:val="Normal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9. Хакерской группировкой PhaseShifters, нацеленной на органы государственной власти и субъекты критической информационной инфраструктуры</w:t>
        <w:br/>
        <w:t>Российской Федерации, осуществляются фишинговые рассылки электронных писем от лица Министерства образования и науки Российской Федерации. Во вложениях указанных писем прикреплен архив с наименованием «Исходящий от 26.05.2025.7z», содержащий файл-приманку с наименованием «Prilozenie_k_pis_mu.docx»</w:t>
        <w:br/>
      </w: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6"/>
          <w:kern w:val="2"/>
          <w:sz w:val="28"/>
          <w:szCs w:val="28"/>
          <w:shd w:fill="auto" w:val="clear"/>
          <w:lang w:val="ru-RU" w:eastAsia="zh-CN" w:bidi="ar-SA"/>
        </w:rPr>
        <w:t>и исполняемый файл с наименованием «Pis_mo_zapros_na_predpriatia_OPK.doc.exe.exe», после запуска пользователем которого осуществляется демонстрация документа-приманки и внедрение вредоносного программного обеспечения типа «троян удаленного доступа» (QuasarRAT).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указанной хакерской группировки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следующим адресам, используя схему доступа по «черным» или «белым» спискам: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193[.]124[.]33[.]207;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minobnauki[.]ru;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5[.]8[.]11[.]119;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min-prom[.]ru;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mail[.]min-prom[.]ru;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superjoke[.]ru;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forum-drom[.]ru;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cloud-telegram[.]ru;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about-sport[.]ru.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Также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следующих индикаторов компрометации (md5):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2b7004cb00d58967c7d6677495d3422e;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0bbb3a2ac9ba7d14a784cbc2519fbd64;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40ef2615afb15f61072d7cea9b1a856a;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681af8a70203832f9b8de10a8d51860a.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10. Хакерскими группировками, нацеленными на органы государственной власти и субъекты критической информационной инфраструктуры Российской Федерации, осуществляются фишинговые рассылки электронных писем от лица федерального казенного предприятия «ГЛП «РАДУГА» с тематикой «СРОЧНО: необходима ваша реакция по вложенному документу». Во вложениях указанных писем прикреплен файл с наименованием «Акт_внутренней_проверки_контрагента_срочно.pdf (10).pdf».</w:t>
        <w:br/>
        <w:t>При открытии указанного файла пользователю предлагается выполнить ряд команд</w:t>
        <w:br/>
        <w:t>для ознакомления с содержимым документа, после чего осуществляется внедрение</w:t>
        <w:br/>
        <w:t>на целевую систему вредоносного программного обеспечения типа «дроппер».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указанных хакерских группировок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обеспечить на уровне сетевых средств защиты информации ограничение обращений к следующим адресам, используя схему доступа по «черным» или «белым» спискам: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77[.]110[.]104[.]115;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docrf[.]org;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hxxps[:]//docrf.org/rjPiWMqwPx0PQE931FDXo9fNcMH1SB7c/.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Также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следующего индикатора компрометации (sha256):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e7b58b7fee52dd577219cc5c5d6926fb63c4e5f71aaed932e62ae623a698926d.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11. Хакерскими группировками, нацеленными на органы государственной власти и субъекты критической информационной инфраструктуры Российской Федерации, осуществляются фишинговые рассылки электронных писем с тематикой «Схема оповещения!». Во вложениях указанных писем прикреплен запароленный архив</w:t>
        <w:br/>
        <w:t>с наименованием «1. СХЕМА ОПОВЕЩЕНИЯ РЕЖИМ КОВЕР.docx.rar», внутри которого содержится исполняемый файл с наименованием «1. СХЕМА ОПОВЕЩЕНИЯ РЕЖИМ КОВЕР.docx.scr». После запуска пользователем указанного файла осуществляется демонстрация документа-приманки, выполнение команд оболочки сценариев PowerShell и внедрение на целевую систему вредоносного программного обеспечения типа «загрузчик».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указанных хакерских группировок по фишинговым рассылкам, необходимо реализовать меры защиты, указанные в пунктах 1.1-1.5.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Кроме того,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следующих индикаторов компрометации (sha256):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265f04de875ab37b33d1d7716a28768785fb40f44b159c6276b015c4d4cb73c3;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315691c6682b8623b021d6421ebe64fc6469aae179c33987cf0b771ac3904cf5;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01793e6f0d5241b33f07a3f9ad34e40e056a514c5d23e14dc491cee60076dc5a;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eda75a90bcd551c724b8a8d0bf2b5e69c430088dc249fe9e79d8509b57d96a30;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e8a432e612369f9180ec907966a24c2d8924e29fd1b70c618368e4dbc19557a9;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d98465c6710f4326b3f30fb4c791560a78243175c93d146b84e6fc2d0a965795;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cca5879951cc62bb23f3ad8b72e8e74bc4888e0c8c1941dc30304480d865eecb;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727df710433850e751c1ae0b10cabf7d332d8072b4fa6501bc2ff3a0429c9f18.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12. Хакерскими группировками, нацеленными на органы государственной власти и субъекты критической информационной инфраструктуры Российской Федерации, возможно применение при осуществлении целевых компьютерных атак вредоносного программного обеспечения типа «бэкдор», предназначенного для обхода настроек аутентификации Linux Pluggable Authentication Modules (PAM), в целях получения доступа к целевой системе.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Для предотвращения реализации угроз безопасности информации, связанных</w:t>
        <w:br/>
        <w:t>с деятельностью указанных хакерских группировок, необходимо осуществить настройку правил системы мониторинга событий информационной безопасности (при ее наличии) путем внесения в правила корреляции событий следующих индикаторов компрометации (sha256):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f62624d28aaa0de93e49fcdaaa3b73623723bdfb308e95dcbeab583bdfe3ac64;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24d71c0524467db1b83e661abc2b80d582f62fa0ead38fdf4974a64d59423ff1;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5aeae90e3ab3418ef001cce2cddeaaaea5e4e27efdad4c6fa7459105ef6d55fa;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ae26a4bc9323b7ae9d135ef3606339ee681a443ef45184c2553aa1468ba2e04b;</w:t>
      </w:r>
    </w:p>
    <w:p>
      <w:pPr>
        <w:pStyle w:val="Standard19"/>
        <w:suppressAutoHyphens w:val="true"/>
        <w:spacing w:lineRule="auto" w:line="240" w:before="0" w:after="0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ac32ed04c0a81eb2a84f3737affe73f5101970cc3f07e5a2e34b239ab0918edd.</w:t>
      </w:r>
    </w:p>
    <w:p>
      <w:pPr>
        <w:pStyle w:val="Standard"/>
        <w:spacing w:lineRule="auto" w:line="216" w:before="0" w:after="0"/>
        <w:ind w:firstLine="709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 xml:space="preserve">О результатах выполнения указанных рекомендаций прошу проинформировать Управление ФСТЭК России по Дальневосточному федеральному округу по адресу электронной почты dfo_otd9@fstec.ru до </w:t>
      </w:r>
      <w:bookmarkStart w:id="0" w:name="_GoBack"/>
      <w:bookmarkEnd w:id="0"/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5 июля 2025 г. в форме письма с электронным вложением в формате PDF.</w:t>
      </w:r>
    </w:p>
    <w:p>
      <w:pPr>
        <w:pStyle w:val="Standard20"/>
        <w:suppressAutoHyphens w:val="true"/>
        <w:spacing w:lineRule="auto" w:line="312"/>
        <w:ind w:firstLine="709" w:left="0" w:right="0"/>
        <w:jc w:val="both"/>
        <w:rPr/>
      </w:pPr>
      <w:r>
        <w:rPr>
          <w:rStyle w:val="Style15"/>
          <w:rFonts w:eastAsia="Times New Rom愀渀" w:cs="Times New Roman" w:ascii="PT Astra Serif" w:hAnsi="PT Astra Serif"/>
          <w:bCs/>
          <w:iCs/>
          <w:caps w:val="false"/>
          <w:smallCaps w:val="false"/>
          <w:color w:val="000000"/>
          <w:spacing w:val="-4"/>
          <w:kern w:val="2"/>
          <w:sz w:val="28"/>
          <w:szCs w:val="28"/>
          <w:shd w:fill="auto" w:val="clear"/>
          <w:lang w:val="ru-RU" w:eastAsia="zh-CN" w:bidi="ar-SA"/>
        </w:rPr>
        <w:t>Приложение: Файловые индикаторы компрометации на 6 л.</w:t>
      </w:r>
    </w:p>
    <w:tbl>
      <w:tblPr>
        <w:tblW w:w="10200" w:type="dxa"/>
        <w:jc w:val="left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7"/>
        <w:gridCol w:w="5552"/>
      </w:tblGrid>
      <w:tr>
        <w:trPr/>
        <w:tc>
          <w:tcPr>
            <w:tcW w:w="4647" w:type="dxa"/>
            <w:tcBorders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/>
            </w:r>
          </w:p>
          <w:p>
            <w:pPr>
              <w:pStyle w:val="Normal"/>
              <w:spacing w:lineRule="auto" w:line="240" w:before="508" w:after="0"/>
              <w:jc w:val="left"/>
              <w:rPr/>
            </w:pPr>
            <w:r>
              <w:rPr>
                <w:rStyle w:val="22"/>
                <w:rFonts w:eastAsia="Times New Rom愀渀" w:cs="Times New Roman"/>
                <w:b w:val="false"/>
                <w:bCs/>
                <w:i w:val="false"/>
                <w:iCs/>
                <w:color w:val="000000"/>
                <w:spacing w:val="-6"/>
                <w:kern w:val="0"/>
                <w:sz w:val="28"/>
                <w:szCs w:val="28"/>
                <w:u w:val="none"/>
                <w:shd w:fill="FFFFFF" w:val="clear"/>
                <w:lang w:val="ru-RU" w:eastAsia="ru-RU" w:bidi="ar-SA"/>
              </w:rPr>
              <w:t>Руководитель Управления</w:t>
            </w:r>
          </w:p>
        </w:tc>
        <w:tc>
          <w:tcPr>
            <w:tcW w:w="555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793" w:after="113"/>
              <w:ind w:hanging="0" w:left="0" w:right="0"/>
              <w:jc w:val="right"/>
              <w:rPr/>
            </w:pPr>
            <w:r>
              <w:rPr>
                <w:rStyle w:val="22"/>
                <w:rFonts w:eastAsia="Times New Rom愀渀" w:cs="Times New Roman"/>
                <w:b w:val="false"/>
                <w:bCs/>
                <w:i w:val="false"/>
                <w:iCs/>
                <w:color w:val="000000"/>
                <w:spacing w:val="-6"/>
                <w:kern w:val="0"/>
                <w:sz w:val="28"/>
                <w:szCs w:val="28"/>
                <w:u w:val="none"/>
                <w:shd w:fill="FFFFFF" w:val="clear"/>
                <w:lang w:val="ru-RU" w:eastAsia="ru-RU" w:bidi="ar-SA"/>
              </w:rPr>
              <w:t>В.Цалко</w:t>
            </w:r>
          </w:p>
        </w:tc>
      </w:tr>
    </w:tbl>
    <w:p>
      <w:pPr>
        <w:pStyle w:val="Normal"/>
        <w:rPr>
          <w:color w:val="FFFFFF"/>
          <w:highlight w:val="white"/>
        </w:rPr>
      </w:pPr>
      <w:r>
        <w:rPr>
          <w:color w:val="FFFFFF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20"/>
          <w:szCs w:val="20"/>
          <w:highlight w:val="white"/>
        </w:rPr>
      </w:pPr>
      <w:r>
        <w:rPr>
          <w:color w:val="FFFFFF"/>
          <w:sz w:val="20"/>
          <w:szCs w:val="20"/>
          <w:highlight w:val="white"/>
        </w:rPr>
      </w:r>
    </w:p>
    <w:p>
      <w:pPr>
        <w:pStyle w:val="Normal"/>
        <w:rPr>
          <w:color w:val="FFFFFF"/>
          <w:sz w:val="12"/>
          <w:szCs w:val="12"/>
          <w:highlight w:val="white"/>
        </w:rPr>
      </w:pPr>
      <w:r>
        <w:rPr>
          <w:color w:val="FFFFFF"/>
          <w:sz w:val="12"/>
          <w:szCs w:val="12"/>
          <w:highlight w:val="white"/>
        </w:rPr>
      </w:r>
    </w:p>
    <w:p>
      <w:pPr>
        <w:pStyle w:val="Normal"/>
        <w:rPr>
          <w:color w:val="FFFFFF"/>
          <w:sz w:val="12"/>
          <w:szCs w:val="12"/>
          <w:highlight w:val="white"/>
        </w:rPr>
      </w:pPr>
      <w:r>
        <w:rPr>
          <w:color w:val="FFFFFF"/>
          <w:sz w:val="12"/>
          <w:szCs w:val="12"/>
          <w:highlight w:val="white"/>
        </w:rPr>
      </w:r>
    </w:p>
    <w:p>
      <w:pPr>
        <w:pStyle w:val="Normal"/>
        <w:rPr/>
      </w:pPr>
      <w:r>
        <w:rPr>
          <w:sz w:val="24"/>
          <w:szCs w:val="24"/>
        </w:rPr>
        <w:t>Исп. и отп. Комарова Т.А.</w:t>
      </w:r>
    </w:p>
    <w:p>
      <w:pPr>
        <w:pStyle w:val="Normal"/>
        <w:rPr/>
      </w:pPr>
      <w:r>
        <w:rPr>
          <w:sz w:val="24"/>
          <w:szCs w:val="24"/>
        </w:rPr>
        <w:t xml:space="preserve">тел. (4212) </w:t>
      </w:r>
      <w:r>
        <w:rPr>
          <w:sz w:val="24"/>
          <w:szCs w:val="24"/>
          <w:shd w:fill="auto" w:val="clear"/>
        </w:rPr>
        <w:t>35-11-75</w:t>
      </w:r>
    </w:p>
    <w:p>
      <w:pPr>
        <w:pStyle w:val="Normal"/>
        <w:rPr/>
      </w:pPr>
      <w:r>
        <w:rPr>
          <w:sz w:val="24"/>
          <w:szCs w:val="24"/>
          <w:shd w:fill="auto" w:val="clear"/>
        </w:rPr>
        <w:t>09.06.2025</w:t>
      </w:r>
    </w:p>
    <w:sectPr>
      <w:headerReference w:type="default" r:id="rId3"/>
      <w:headerReference w:type="first" r:id="rId4"/>
      <w:type w:val="nextPage"/>
      <w:pgSz w:w="11906" w:h="16838"/>
      <w:pgMar w:left="1134" w:right="567" w:gutter="0" w:header="340" w:top="1009" w:footer="0" w:bottom="992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Lucida Sans Unicode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PT Sans">
    <w:charset w:val="01"/>
    <w:family w:val="roman"/>
    <w:pitch w:val="default"/>
  </w:font>
  <w:font w:name="Tahoma">
    <w:charset w:val="01"/>
    <w:family w:val="roman"/>
    <w:pitch w:val="default"/>
  </w:font>
  <w:font w:name="Verdana">
    <w:charset w:val="01"/>
    <w:family w:val="roman"/>
    <w:pitch w:val="default"/>
  </w:font>
  <w:font w:name="Gulim">
    <w:charset w:val="01"/>
    <w:family w:val="roman"/>
    <w:pitch w:val="default"/>
  </w:font>
  <w:font w:name="Times New Rom愀渀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mirrorMargins/>
  <w:embedSystemFonts/>
  <w:defaultTabStop w:val="709"/>
  <w:autoHyphenation w:val="true"/>
  <w:doNotHyphenateCaps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jc w:val="center"/>
      <w:outlineLvl w:val="0"/>
    </w:pPr>
    <w:rPr>
      <w:b/>
      <w:sz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jc w:val="center"/>
      <w:outlineLvl w:val="3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1" w:customStyle="1">
    <w:name w:val="Неразрешенное упоминание1"/>
    <w:basedOn w:val="DefaultParagraphFont"/>
    <w:qFormat/>
    <w:rPr>
      <w:color w:val="605E5C"/>
    </w:rPr>
  </w:style>
  <w:style w:type="character" w:styleId="Style12" w:customStyle="1">
    <w:name w:val="Верхний колонтитул Знак"/>
    <w:basedOn w:val="DefaultParagraphFont"/>
    <w:qFormat/>
    <w:rPr>
      <w:sz w:val="24"/>
      <w:szCs w:val="24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2" w:customStyle="1">
    <w:name w:val="Основной текст (2)_"/>
    <w:basedOn w:val="DefaultParagraphFont"/>
    <w:qFormat/>
    <w:rPr>
      <w:sz w:val="28"/>
      <w:szCs w:val="28"/>
    </w:rPr>
  </w:style>
  <w:style w:type="character" w:styleId="Style13" w:customStyle="1">
    <w:name w:val="Символ нумерации"/>
    <w:qFormat/>
    <w:rPr/>
  </w:style>
  <w:style w:type="character" w:styleId="Bodytext" w:customStyle="1">
    <w:name w:val="Body text_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11" w:customStyle="1">
    <w:name w:val="Основной текст1"/>
    <w:basedOn w:val="Bodytex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6" w:customStyle="1">
    <w:name w:val="Основной текст (6)_"/>
    <w:basedOn w:val="DefaultParagraphFon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z w:val="28"/>
      <w:szCs w:val="28"/>
      <w:u w:val="none"/>
      <w:lang w:val="en-US" w:eastAsia="en-US" w:bidi="en-US"/>
    </w:rPr>
  </w:style>
  <w:style w:type="character" w:styleId="6LucidaSansUnicode9pt" w:customStyle="1">
    <w:name w:val="Основной текст (6) + Lucida Sans Unicode;9 pt;Не курсив"/>
    <w:basedOn w:val="6"/>
    <w:qFormat/>
    <w:rPr>
      <w:rFonts w:ascii="Lucida Sans Unicode" w:hAnsi="Lucida Sans Unicode" w:eastAsia="Lucida Sans Unicode" w:cs="Lucida Sans Unicode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en-US" w:eastAsia="en-US" w:bidi="en-US"/>
    </w:rPr>
  </w:style>
  <w:style w:type="character" w:styleId="21" w:customStyle="1">
    <w:name w:val="Основной текст (2) + Курсив"/>
    <w:basedOn w:val="2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en-US" w:eastAsia="en-US" w:bidi="en-US"/>
    </w:rPr>
  </w:style>
  <w:style w:type="character" w:styleId="211pt" w:customStyle="1">
    <w:name w:val="Основной текст (2) + 11 pt;Полужирный"/>
    <w:basedOn w:val="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styleId="211pt1" w:customStyle="1">
    <w:name w:val="Основной текст (2) + 11 pt;Курсив"/>
    <w:basedOn w:val="2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styleId="214pt" w:customStyle="1">
    <w:name w:val="Основной текст (2) + 14 pt;Курсив"/>
    <w:basedOn w:val="2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en-US" w:eastAsia="en-US" w:bidi="en-US"/>
    </w:rPr>
  </w:style>
  <w:style w:type="character" w:styleId="Style14" w:customStyle="1">
    <w:name w:val="Маркеры списка"/>
    <w:qFormat/>
    <w:rPr>
      <w:rFonts w:ascii="OpenSymbol" w:hAnsi="OpenSymbol" w:eastAsia="OpenSymbol" w:cs="OpenSymbol"/>
    </w:rPr>
  </w:style>
  <w:style w:type="character" w:styleId="12" w:customStyle="1">
    <w:name w:val="Основной шрифт абзаца1"/>
    <w:qFormat/>
    <w:rPr/>
  </w:style>
  <w:style w:type="character" w:styleId="214pt1" w:customStyle="1">
    <w:name w:val="Основной текст (2) + 14 pt"/>
    <w:qFormat/>
    <w:rPr>
      <w:rFonts w:ascii="Times New Roman" w:hAnsi="Times New Roman" w:eastAsia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en-US" w:eastAsia="en-US"/>
    </w:rPr>
  </w:style>
  <w:style w:type="character" w:styleId="211pt2" w:customStyle="1">
    <w:name w:val="Основной текст (2) + 11 pt"/>
    <w:qFormat/>
    <w:rPr>
      <w:rFonts w:ascii="Times New Roman" w:hAnsi="Times New Roman" w:eastAsia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</w:rPr>
  </w:style>
  <w:style w:type="character" w:styleId="6LucidaSansUnicode9pt1" w:customStyle="1">
    <w:name w:val="Основной текст (6) + Lucida Sans Unicode;9 pt"/>
    <w:qFormat/>
    <w:rPr>
      <w:rFonts w:ascii="Lucida Sans Unicode" w:hAnsi="Lucida Sans Unicode" w:eastAsia="Lucida Sans Unicode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en-US" w:eastAsia="en-US"/>
    </w:rPr>
  </w:style>
  <w:style w:type="character" w:styleId="22" w:customStyle="1">
    <w:name w:val="Основной шрифт абзаца2"/>
    <w:qFormat/>
    <w:rPr/>
  </w:style>
  <w:style w:type="character" w:styleId="14" w:customStyle="1">
    <w:name w:val="Обычный 14"/>
    <w:qFormat/>
    <w:rPr>
      <w:rFonts w:ascii="Times New Roman" w:hAnsi="Times New Roman" w:cs="Times New Roman"/>
      <w:sz w:val="28"/>
    </w:rPr>
  </w:style>
  <w:style w:type="character" w:styleId="13" w:customStyle="1">
    <w:name w:val="Цитата1"/>
    <w:qFormat/>
    <w:rPr>
      <w:i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Linenumber">
    <w:name w:val="line number"/>
    <w:qFormat/>
    <w:rPr/>
  </w:style>
  <w:style w:type="character" w:styleId="FootnoteCharacters" w:customStyle="1">
    <w:name w:val="Footnote Characters"/>
    <w:qFormat/>
    <w:rPr>
      <w:vertAlign w:val="superscript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BodyText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1">
    <w:name w:val="Body Text"/>
    <w:basedOn w:val="Normal"/>
    <w:pPr/>
    <w:rPr>
      <w:rFonts w:ascii="Arial" w:hAnsi="Arial" w:cs="Arial"/>
      <w:b/>
      <w:sz w:val="17"/>
      <w:szCs w:val="17"/>
    </w:rPr>
  </w:style>
  <w:style w:type="paragraph" w:styleId="List">
    <w:name w:val="List"/>
    <w:basedOn w:val="BodyText1"/>
    <w:pPr/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Title">
    <w:name w:val="Title"/>
    <w:basedOn w:val="Normal"/>
    <w:next w:val="BodyText1"/>
    <w:uiPriority w:val="10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Sans" w:hAnsi="PT Sans" w:cs="Noto Sans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Style18" w:customStyle="1">
    <w:name w:val="Верхний и нижний колонтитулы"/>
    <w:basedOn w:val="Normal"/>
    <w:qFormat/>
    <w:pPr/>
    <w:rPr/>
  </w:style>
  <w:style w:type="paragraph" w:styleId="Style19" w:customStyle="1">
    <w:name w:val="Колонтитул"/>
    <w:basedOn w:val="Normal"/>
    <w:qFormat/>
    <w:pPr/>
    <w:rPr/>
  </w:style>
  <w:style w:type="paragraph" w:styleId="Header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odyTextIndent">
    <w:name w:val="Body Text Indent"/>
    <w:basedOn w:val="Normal"/>
    <w:pPr>
      <w:ind w:left="612"/>
      <w:jc w:val="both"/>
    </w:pPr>
    <w:rPr>
      <w:sz w:val="28"/>
      <w:szCs w:val="2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15" w:customStyle="1">
    <w:name w:val="Знак Знак Знак1"/>
    <w:basedOn w:val="Normal"/>
    <w:qFormat/>
    <w:pPr>
      <w:tabs>
        <w:tab w:val="clear" w:pos="709"/>
        <w:tab w:val="left" w:pos="360" w:leader="none"/>
      </w:tabs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/>
  </w:style>
  <w:style w:type="paragraph" w:styleId="23" w:customStyle="1">
    <w:name w:val="Основной текст (2)"/>
    <w:basedOn w:val="Normal"/>
    <w:qFormat/>
    <w:pPr>
      <w:widowControl w:val="false"/>
      <w:shd w:val="clear" w:color="auto" w:fill="FFFFFF"/>
      <w:spacing w:lineRule="exact" w:line="328" w:before="1020" w:after="0"/>
      <w:jc w:val="center"/>
    </w:pPr>
    <w:rPr>
      <w:sz w:val="28"/>
      <w:szCs w:val="28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5" w:customStyle="1">
    <w:name w:val="Основной текст5"/>
    <w:basedOn w:val="Normal"/>
    <w:qFormat/>
    <w:pPr>
      <w:shd w:val="clear" w:color="auto" w:fill="FFFFFF"/>
      <w:spacing w:lineRule="exact" w:line="326"/>
      <w:jc w:val="center"/>
    </w:pPr>
    <w:rPr>
      <w:sz w:val="27"/>
      <w:szCs w:val="27"/>
    </w:rPr>
  </w:style>
  <w:style w:type="paragraph" w:styleId="111" w:customStyle="1">
    <w:name w:val="Основной текст11"/>
    <w:basedOn w:val="Normal"/>
    <w:qFormat/>
    <w:pPr>
      <w:shd w:val="clear" w:color="auto" w:fill="FFFFFF"/>
      <w:spacing w:lineRule="exact" w:line="298" w:before="1500" w:after="480"/>
      <w:jc w:val="right"/>
    </w:pPr>
    <w:rPr>
      <w:sz w:val="27"/>
      <w:szCs w:val="27"/>
    </w:rPr>
  </w:style>
  <w:style w:type="paragraph" w:styleId="61" w:customStyle="1">
    <w:name w:val="Основной текст (6)"/>
    <w:basedOn w:val="Normal"/>
    <w:qFormat/>
    <w:pPr>
      <w:shd w:val="clear" w:color="auto" w:fill="FFFFFF"/>
      <w:spacing w:lineRule="exact" w:line="341"/>
    </w:pPr>
    <w:rPr>
      <w:i/>
      <w:iCs/>
      <w:sz w:val="28"/>
      <w:szCs w:val="28"/>
      <w:lang w:val="en-US" w:eastAsia="en-US" w:bidi="en-US"/>
    </w:rPr>
  </w:style>
  <w:style w:type="paragraph" w:styleId="24" w:customStyle="1">
    <w:name w:val="Заголовок №2"/>
    <w:basedOn w:val="Normal"/>
    <w:qFormat/>
    <w:pPr>
      <w:shd w:val="clear" w:color="auto" w:fill="FFFFFF"/>
      <w:spacing w:before="0" w:after="60"/>
      <w:outlineLvl w:val="1"/>
    </w:pPr>
    <w:rPr>
      <w:rFonts w:ascii="Gulim" w:hAnsi="Gulim" w:eastAsia="Gulim" w:cs="Gulim"/>
      <w:i/>
      <w:iCs/>
      <w:sz w:val="28"/>
      <w:szCs w:val="28"/>
      <w:lang w:val="en-US" w:eastAsia="en-US" w:bidi="en-US"/>
    </w:rPr>
  </w:style>
  <w:style w:type="paragraph" w:styleId="7" w:customStyle="1">
    <w:name w:val="Основной текст (7)"/>
    <w:basedOn w:val="Normal"/>
    <w:qFormat/>
    <w:pPr>
      <w:shd w:val="clear" w:color="auto" w:fill="FFFFFF"/>
      <w:spacing w:before="0" w:after="60"/>
      <w:ind w:firstLine="740"/>
    </w:pPr>
    <w:rPr>
      <w:rFonts w:ascii="Lucida Sans Unicode" w:hAnsi="Lucida Sans Unicode" w:eastAsia="Lucida Sans Unicode" w:cs="Lucida Sans Unicode"/>
      <w:sz w:val="19"/>
      <w:szCs w:val="19"/>
      <w:lang w:val="en-US" w:eastAsia="en-US" w:bidi="en-US"/>
    </w:rPr>
  </w:style>
  <w:style w:type="paragraph" w:styleId="Style20" w:customStyle="1">
    <w:name w:val="Содержимое врезки"/>
    <w:basedOn w:val="Normal"/>
    <w:qFormat/>
    <w:pPr/>
    <w:rPr/>
  </w:style>
  <w:style w:type="paragraph" w:styleId="4" w:customStyle="1">
    <w:name w:val="Основной текст (4)"/>
    <w:basedOn w:val="Normal"/>
    <w:qFormat/>
    <w:pPr>
      <w:shd w:val="clear" w:color="auto" w:fill="FFFFFF"/>
      <w:spacing w:lineRule="exact" w:line="341"/>
      <w:ind w:firstLine="740"/>
      <w:jc w:val="both"/>
    </w:pPr>
    <w:rPr>
      <w:i/>
      <w:iCs/>
      <w:sz w:val="28"/>
      <w:szCs w:val="28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ru-RU" w:bidi="ar-SA"/>
    </w:rPr>
  </w:style>
  <w:style w:type="paragraph" w:styleId="Standard1" w:customStyle="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ru-RU"/>
    </w:rPr>
  </w:style>
  <w:style w:type="paragraph" w:styleId="BlockText">
    <w:name w:val="Block Text"/>
    <w:basedOn w:val="Normal"/>
    <w:qFormat/>
    <w:pPr>
      <w:shd w:val="clear" w:color="auto" w:fill="FFFFFF"/>
      <w:ind w:firstLine="539" w:left="14" w:right="43"/>
      <w:jc w:val="both"/>
    </w:pPr>
    <w:rPr>
      <w:rFonts w:ascii="Arial" w:hAnsi="Arial" w:eastAsia="Arial"/>
      <w:color w:val="000080"/>
      <w:szCs w:val="20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</w:rPr>
  </w:style>
  <w:style w:type="paragraph" w:styleId="Style22" w:customStyle="1">
    <w:name w:val="Исполнитель документа"/>
    <w:basedOn w:val="Normal"/>
    <w:qFormat/>
    <w:pPr/>
    <w:rPr/>
  </w:style>
  <w:style w:type="paragraph" w:styleId="Style23" w:customStyle="1">
    <w:name w:val="Гриф_Экземпляр"/>
    <w:basedOn w:val="Normal"/>
    <w:qFormat/>
    <w:pPr/>
    <w:rPr/>
  </w:style>
  <w:style w:type="paragraph" w:styleId="TableofFigures">
    <w:name w:val="Table of Figures"/>
    <w:qFormat/>
    <w:pPr>
      <w:widowControl/>
      <w:shd w:val="clear" w:color="auto" w:fill="FFFFFF"/>
      <w:suppressAutoHyphens w:val="true"/>
      <w:bidi w:val="0"/>
      <w:spacing w:lineRule="exact" w:line="226" w:before="38" w:after="0"/>
      <w:ind w:right="5"/>
      <w:jc w:val="left"/>
    </w:pPr>
    <w:rPr>
      <w:rFonts w:ascii="Times New Roman" w:hAnsi="Times New Roman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Envelopereturn">
    <w:name w:val="envelope return"/>
    <w:basedOn w:val="Normal"/>
    <w:qFormat/>
    <w:pPr/>
    <w:rPr/>
  </w:style>
  <w:style w:type="paragraph" w:styleId="Envelopeaddress">
    <w:name w:val="envelope address"/>
    <w:basedOn w:val="Normal"/>
    <w:qFormat/>
    <w:pPr/>
    <w:rPr/>
  </w:style>
  <w:style w:type="paragraph" w:styleId="PlainText">
    <w:name w:val="Plain Text"/>
    <w:qFormat/>
    <w:pPr>
      <w:widowControl/>
      <w:shd w:val="clear" w:color="auto" w:fill="FFFFFF"/>
      <w:suppressAutoHyphens w:val="true"/>
      <w:bidi w:val="0"/>
      <w:spacing w:lineRule="exact" w:line="226" w:before="38" w:after="0"/>
      <w:ind w:right="5"/>
      <w:jc w:val="left"/>
    </w:pPr>
    <w:rPr>
      <w:rFonts w:ascii="Times New Roman" w:hAnsi="Times New Roman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Tableofauthorities">
    <w:name w:val="table of authorities"/>
    <w:qFormat/>
    <w:pPr>
      <w:widowControl/>
      <w:suppressAutoHyphens w:val="true"/>
      <w:bidi w:val="0"/>
      <w:spacing w:before="0" w:after="170"/>
      <w:jc w:val="lef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IllustrationIndex1" w:customStyle="1">
    <w:name w:val="Illustration Index 1"/>
    <w:qFormat/>
    <w:pPr>
      <w:widowControl/>
      <w:tabs>
        <w:tab w:val="clear" w:pos="709"/>
        <w:tab w:val="right" w:pos="9638" w:leader="dot"/>
      </w:tabs>
      <w:suppressAutoHyphens w:val="true"/>
      <w:bidi w:val="0"/>
      <w:spacing w:before="0" w:after="170"/>
      <w:jc w:val="lef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Toaheading">
    <w:name w:val="toa heading"/>
    <w:qFormat/>
    <w:pPr>
      <w:widowControl/>
      <w:suppressAutoHyphens w:val="true"/>
      <w:bidi w:val="0"/>
      <w:spacing w:before="0" w:after="170"/>
      <w:jc w:val="lef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Index3">
    <w:name w:val="index 3"/>
    <w:qFormat/>
    <w:pPr>
      <w:widowControl/>
      <w:suppressAutoHyphens w:val="true"/>
      <w:bidi w:val="0"/>
      <w:spacing w:before="0" w:after="170"/>
      <w:jc w:val="lef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Index2">
    <w:name w:val="index 2"/>
    <w:qFormat/>
    <w:pPr>
      <w:widowControl/>
      <w:suppressAutoHyphens w:val="true"/>
      <w:bidi w:val="0"/>
      <w:spacing w:before="0" w:after="170"/>
      <w:jc w:val="lef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Index1">
    <w:name w:val="index 1"/>
    <w:qFormat/>
    <w:pPr>
      <w:widowControl/>
      <w:suppressAutoHyphens w:val="true"/>
      <w:bidi w:val="0"/>
      <w:spacing w:before="0" w:after="170"/>
      <w:jc w:val="left"/>
    </w:pPr>
    <w:rPr>
      <w:rFonts w:ascii="Times New Roman" w:hAnsi="Times New Roman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ListContinue5">
    <w:name w:val="List Continue 5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Number">
    <w:name w:val="List Number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Continue4">
    <w:name w:val="List Continue 4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Bullet5">
    <w:name w:val="List Bullet 5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Continue3">
    <w:name w:val="List Continue 3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Continue2">
    <w:name w:val="List Continue 2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Continue">
    <w:name w:val="List Continue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Number5">
    <w:name w:val="List Number 5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Number4">
    <w:name w:val="List Number 4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Number3">
    <w:name w:val="List Number 3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Number2">
    <w:name w:val="List Number 2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Bullet4">
    <w:name w:val="List Bullet 4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Annotationtext">
    <w:name w:val="annotation text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4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ource Han Sans CN Regular" w:cs="Lohit Devanagari"/>
      <w:color w:val="auto"/>
      <w:kern w:val="2"/>
      <w:sz w:val="24"/>
      <w:szCs w:val="24"/>
      <w:lang w:val="ru-RU" w:eastAsia="ru-RU" w:bidi="ru-RU"/>
    </w:rPr>
  </w:style>
  <w:style w:type="paragraph" w:styleId="Standard2" w:customStyle="1">
    <w:name w:val="Standard2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3" w:customStyle="1">
    <w:name w:val="Standard3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4" w:customStyle="1">
    <w:name w:val="Standard4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5" w:customStyle="1">
    <w:name w:val="Standard5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6" w:customStyle="1">
    <w:name w:val="Standard6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7" w:customStyle="1">
    <w:name w:val="Standard7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ar-SA"/>
    </w:rPr>
  </w:style>
  <w:style w:type="paragraph" w:styleId="Standard8" w:customStyle="1">
    <w:name w:val="Standard8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ar-SA"/>
    </w:rPr>
  </w:style>
  <w:style w:type="paragraph" w:styleId="Standard9" w:customStyle="1">
    <w:name w:val="Standard9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ar-SA"/>
    </w:rPr>
  </w:style>
  <w:style w:type="paragraph" w:styleId="Standard10" w:customStyle="1">
    <w:name w:val="Standard10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11">
    <w:name w:val="Standard11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12">
    <w:name w:val="Standard12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ar-SA"/>
    </w:rPr>
  </w:style>
  <w:style w:type="paragraph" w:styleId="Standard13">
    <w:name w:val="Standard13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14">
    <w:name w:val="Standard14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ar-SA"/>
    </w:rPr>
  </w:style>
  <w:style w:type="paragraph" w:styleId="Standard15">
    <w:name w:val="Standard15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ar-SA"/>
    </w:rPr>
  </w:style>
  <w:style w:type="paragraph" w:styleId="Standard16">
    <w:name w:val="Standard16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ar-SA"/>
    </w:rPr>
  </w:style>
  <w:style w:type="paragraph" w:styleId="Standard17">
    <w:name w:val="Standard17"/>
    <w:qFormat/>
    <w:pPr>
      <w:widowControl/>
      <w:suppressAutoHyphens w:val="tru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18">
    <w:name w:val="Standard18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愀渀" w:hAnsi="Times New Rom愀渀" w:eastAsia="Times New Rom愀渀" w:cs="Times New Rom愀渀"/>
      <w:color w:val="auto"/>
      <w:kern w:val="2"/>
      <w:sz w:val="24"/>
      <w:szCs w:val="24"/>
      <w:lang w:val="ru-RU" w:eastAsia="zh-CN" w:bidi="ar-SA"/>
    </w:rPr>
  </w:style>
  <w:style w:type="paragraph" w:styleId="Standard19">
    <w:name w:val="Standard19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paragraph" w:styleId="Standard20">
    <w:name w:val="Standard20"/>
    <w:qFormat/>
    <w:pPr>
      <w:widowControl/>
      <w:suppressAutoHyphens w:val="false"/>
      <w:bidi w:val="0"/>
      <w:spacing w:before="0" w:after="0"/>
      <w:jc w:val="left"/>
    </w:pPr>
    <w:rPr>
      <w:rFonts w:ascii="Times New Rom愀渀" w:hAnsi="Times New Rom愀渀" w:eastAsia="Times New Rom愀渀" w:cs="Times New Rom愀渀"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Application>LibreOffice/7.6.7.2$Linux_X86_64 LibreOffice_project/60$Build-2</Application>
  <AppVersion>15.0000</AppVersion>
  <Pages>9</Pages>
  <Words>2091</Words>
  <Characters>20622</Characters>
  <CharactersWithSpaces>22509</CharactersWithSpaces>
  <Paragraphs>206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2025-05-04T06:58:00Z</dcterms:created>
  <dc:creator>Надеждин А.В. Надеждин А.В</dc:creator>
  <dc:description/>
  <dc:language>ru-RU</dc:language>
  <cp:lastModifiedBy/>
  <cp:lastPrinted>2025-06-09T10:07:02Z</cp:lastPrinted>
  <dcterms:modified xsi:type="dcterms:W3CDTF">2025-06-09T10:09:13Z</dcterms:modified>
  <cp:revision>215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